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ascii="仿宋" w:hAnsi="仿宋" w:eastAsia="仿宋" w:cs="仿宋"/>
          <w:sz w:val="32"/>
          <w:szCs w:val="32"/>
        </w:rPr>
      </w:pPr>
      <w:bookmarkStart w:id="0" w:name="_Toc32351"/>
      <w:r>
        <w:rPr>
          <w:rFonts w:hint="eastAsia" w:ascii="仿宋" w:hAnsi="仿宋" w:eastAsia="仿宋" w:cs="仿宋"/>
          <w:sz w:val="32"/>
          <w:szCs w:val="32"/>
        </w:rPr>
        <w:t>三明学院</w:t>
      </w:r>
      <w:r>
        <w:rPr>
          <w:rFonts w:hint="eastAsia" w:ascii="仿宋" w:hAnsi="仿宋" w:eastAsia="仿宋" w:cs="仿宋"/>
          <w:sz w:val="32"/>
          <w:szCs w:val="32"/>
          <w:u w:val="single"/>
        </w:rPr>
        <w:t>202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届</w:t>
      </w:r>
      <w:r>
        <w:rPr>
          <w:rFonts w:hint="eastAsia" w:ascii="仿宋" w:hAnsi="仿宋" w:eastAsia="仿宋" w:cs="仿宋"/>
          <w:kern w:val="0"/>
          <w:sz w:val="32"/>
          <w:szCs w:val="32"/>
        </w:rPr>
        <w:t>校级</w:t>
      </w:r>
      <w:r>
        <w:rPr>
          <w:rFonts w:hint="eastAsia" w:ascii="仿宋" w:hAnsi="仿宋" w:eastAsia="仿宋" w:cs="仿宋"/>
          <w:sz w:val="32"/>
          <w:szCs w:val="32"/>
        </w:rPr>
        <w:t>优秀毕业论文（设计）推荐汇总表</w:t>
      </w:r>
      <w:bookmarkEnd w:id="0"/>
    </w:p>
    <w:tbl>
      <w:tblPr>
        <w:tblStyle w:val="6"/>
        <w:tblW w:w="99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"/>
        <w:gridCol w:w="3622"/>
        <w:gridCol w:w="1428"/>
        <w:gridCol w:w="1010"/>
        <w:gridCol w:w="821"/>
        <w:gridCol w:w="1172"/>
        <w:gridCol w:w="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pacing w:val="-2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-20"/>
                <w:sz w:val="24"/>
                <w:szCs w:val="24"/>
              </w:rPr>
              <w:t>学  院</w:t>
            </w:r>
          </w:p>
        </w:tc>
        <w:tc>
          <w:tcPr>
            <w:tcW w:w="3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仿宋" w:hAnsi="仿宋" w:eastAsia="仿宋" w:cs="仿宋"/>
                <w:b/>
                <w:bCs/>
                <w:color w:val="000000"/>
                <w:spacing w:val="-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-20"/>
                <w:sz w:val="24"/>
                <w:szCs w:val="24"/>
                <w:lang w:val="en-US" w:eastAsia="zh-CN"/>
              </w:rPr>
              <w:t>文化传播学院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本科毕业生</w:t>
            </w:r>
          </w:p>
          <w:p>
            <w:pPr>
              <w:spacing w:line="32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总数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  <w:t>255</w:t>
            </w:r>
          </w:p>
        </w:tc>
        <w:tc>
          <w:tcPr>
            <w:tcW w:w="1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推荐优秀论文（设计）总篇数</w:t>
            </w:r>
          </w:p>
        </w:tc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  <w:t>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3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  <w:szCs w:val="24"/>
              </w:rPr>
              <w:t>题   目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学生姓名</w:t>
            </w:r>
          </w:p>
        </w:tc>
        <w:tc>
          <w:tcPr>
            <w:tcW w:w="18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专业班级</w:t>
            </w:r>
          </w:p>
        </w:tc>
        <w:tc>
          <w:tcPr>
            <w:tcW w:w="2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指导教师</w:t>
            </w:r>
          </w:p>
          <w:p>
            <w:pPr>
              <w:spacing w:line="32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姓名、职称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Cs w:val="21"/>
                <w:lang w:val="en-US" w:eastAsia="zh-CN"/>
              </w:rPr>
              <w:t>1</w:t>
            </w:r>
          </w:p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Cs w:val="21"/>
                <w:lang w:val="en-US" w:eastAsia="zh-CN"/>
              </w:rPr>
              <w:t>（</w:t>
            </w:r>
            <w:bookmarkStart w:id="1" w:name="_GoBack"/>
            <w:r>
              <w:rPr>
                <w:rFonts w:hint="eastAsia" w:ascii="仿宋" w:hAnsi="仿宋" w:eastAsia="仿宋" w:cs="仿宋"/>
                <w:bCs/>
                <w:color w:val="FF0000"/>
                <w:szCs w:val="21"/>
                <w:lang w:val="en-US" w:eastAsia="zh-CN"/>
              </w:rPr>
              <w:t>推选参评十佳毕业论文</w:t>
            </w:r>
            <w:bookmarkEnd w:id="1"/>
            <w:r>
              <w:rPr>
                <w:rFonts w:hint="eastAsia" w:ascii="仿宋" w:hAnsi="仿宋" w:eastAsia="仿宋" w:cs="仿宋"/>
                <w:bCs/>
                <w:color w:val="000000"/>
                <w:szCs w:val="21"/>
                <w:lang w:val="en-US" w:eastAsia="zh-CN"/>
              </w:rPr>
              <w:t>）</w:t>
            </w:r>
          </w:p>
        </w:tc>
        <w:tc>
          <w:tcPr>
            <w:tcW w:w="3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试论明代通俗丛书的编纂与价值——以《夷门广牍》为中心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李采俐</w:t>
            </w:r>
          </w:p>
        </w:tc>
        <w:tc>
          <w:tcPr>
            <w:tcW w:w="18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汉语言文学(师)</w:t>
            </w:r>
          </w:p>
        </w:tc>
        <w:tc>
          <w:tcPr>
            <w:tcW w:w="2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仿宋" w:hAnsi="仿宋" w:eastAsia="仿宋" w:cs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王宣标</w:t>
            </w:r>
            <w:r>
              <w:rPr>
                <w:rFonts w:hint="eastAsia" w:ascii="仿宋" w:hAnsi="仿宋" w:eastAsia="仿宋" w:cs="仿宋"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副教授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Cs w:val="21"/>
                <w:lang w:val="en-US" w:eastAsia="zh-CN"/>
              </w:rPr>
              <w:t>2</w:t>
            </w:r>
          </w:p>
        </w:tc>
        <w:tc>
          <w:tcPr>
            <w:tcW w:w="3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《荆州民声在线》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王浠霈</w:t>
            </w:r>
          </w:p>
        </w:tc>
        <w:tc>
          <w:tcPr>
            <w:tcW w:w="18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播音与主持艺术</w:t>
            </w:r>
          </w:p>
        </w:tc>
        <w:tc>
          <w:tcPr>
            <w:tcW w:w="2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仿宋" w:hAnsi="仿宋" w:eastAsia="仿宋" w:cs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王丽</w:t>
            </w:r>
            <w:r>
              <w:rPr>
                <w:rFonts w:hint="eastAsia" w:ascii="仿宋" w:hAnsi="仿宋" w:eastAsia="仿宋" w:cs="仿宋"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Cs w:val="21"/>
                <w:lang w:val="en-US" w:eastAsia="zh-CN"/>
              </w:rPr>
              <w:t>3</w:t>
            </w:r>
          </w:p>
        </w:tc>
        <w:tc>
          <w:tcPr>
            <w:tcW w:w="3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《古村落•民俗——福建莆田洋尾村》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黄嘉仪</w:t>
            </w:r>
          </w:p>
        </w:tc>
        <w:tc>
          <w:tcPr>
            <w:tcW w:w="18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播音与主持艺术</w:t>
            </w:r>
          </w:p>
        </w:tc>
        <w:tc>
          <w:tcPr>
            <w:tcW w:w="2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王丽</w:t>
            </w:r>
            <w:r>
              <w:rPr>
                <w:rFonts w:hint="eastAsia" w:ascii="仿宋" w:hAnsi="仿宋" w:eastAsia="仿宋" w:cs="仿宋"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Cs w:val="21"/>
                <w:lang w:val="en-US" w:eastAsia="zh-CN"/>
              </w:rPr>
              <w:t>4</w:t>
            </w:r>
          </w:p>
        </w:tc>
        <w:tc>
          <w:tcPr>
            <w:tcW w:w="3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我国社交媒体中网络公民的价值冲突与治理对策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周承平</w:t>
            </w:r>
          </w:p>
        </w:tc>
        <w:tc>
          <w:tcPr>
            <w:tcW w:w="18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播音与主持艺术</w:t>
            </w:r>
          </w:p>
        </w:tc>
        <w:tc>
          <w:tcPr>
            <w:tcW w:w="2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朱小珺</w:t>
            </w:r>
            <w:r>
              <w:rPr>
                <w:rFonts w:hint="eastAsia" w:ascii="仿宋" w:hAnsi="仿宋" w:eastAsia="仿宋" w:cs="仿宋"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助教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Cs w:val="21"/>
                <w:lang w:val="en-US" w:eastAsia="zh-CN"/>
              </w:rPr>
              <w:t>5</w:t>
            </w:r>
          </w:p>
        </w:tc>
        <w:tc>
          <w:tcPr>
            <w:tcW w:w="3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陶渊明《饮酒》（其五）跨学科学习研究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黄巧梅</w:t>
            </w:r>
          </w:p>
        </w:tc>
        <w:tc>
          <w:tcPr>
            <w:tcW w:w="18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汉语言文学(师)</w:t>
            </w:r>
          </w:p>
        </w:tc>
        <w:tc>
          <w:tcPr>
            <w:tcW w:w="2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林阳华</w:t>
            </w:r>
            <w:r>
              <w:rPr>
                <w:rFonts w:hint="eastAsia" w:ascii="仿宋" w:hAnsi="仿宋" w:eastAsia="仿宋" w:cs="仿宋"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6</w:t>
            </w:r>
          </w:p>
        </w:tc>
        <w:tc>
          <w:tcPr>
            <w:tcW w:w="3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初中语文大单元视域下井字格教学法的实施路径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张语湘</w:t>
            </w:r>
          </w:p>
        </w:tc>
        <w:tc>
          <w:tcPr>
            <w:tcW w:w="18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汉语言文学(师)</w:t>
            </w:r>
          </w:p>
        </w:tc>
        <w:tc>
          <w:tcPr>
            <w:tcW w:w="2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谢明辉</w:t>
            </w:r>
            <w:r>
              <w:rPr>
                <w:rFonts w:hint="eastAsia" w:ascii="仿宋" w:hAnsi="仿宋" w:eastAsia="仿宋" w:cs="仿宋"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7</w:t>
            </w:r>
          </w:p>
        </w:tc>
        <w:tc>
          <w:tcPr>
            <w:tcW w:w="3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《感动中国》崇高美研究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陈心瑶</w:t>
            </w:r>
          </w:p>
        </w:tc>
        <w:tc>
          <w:tcPr>
            <w:tcW w:w="18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汉语言文学</w:t>
            </w:r>
          </w:p>
        </w:tc>
        <w:tc>
          <w:tcPr>
            <w:tcW w:w="2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仿宋" w:hAnsi="仿宋" w:eastAsia="仿宋" w:cs="仿宋"/>
                <w:color w:val="000000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林建平、讲师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8</w:t>
            </w:r>
          </w:p>
        </w:tc>
        <w:tc>
          <w:tcPr>
            <w:tcW w:w="3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新课标背景下整本书阅读之散文阅读教学策略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洪雅婷</w:t>
            </w:r>
          </w:p>
        </w:tc>
        <w:tc>
          <w:tcPr>
            <w:tcW w:w="18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汉语言文学(师)</w:t>
            </w:r>
          </w:p>
        </w:tc>
        <w:tc>
          <w:tcPr>
            <w:tcW w:w="2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仿宋" w:hAnsi="仿宋" w:eastAsia="仿宋" w:cs="仿宋"/>
                <w:color w:val="000000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林琳、副教授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9</w:t>
            </w:r>
          </w:p>
        </w:tc>
        <w:tc>
          <w:tcPr>
            <w:tcW w:w="3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思维导图在初中语文名著阅读教学中的应用----以《朝花夕拾》为例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王雨薇</w:t>
            </w:r>
          </w:p>
        </w:tc>
        <w:tc>
          <w:tcPr>
            <w:tcW w:w="18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汉语言文学(师)</w:t>
            </w:r>
          </w:p>
        </w:tc>
        <w:tc>
          <w:tcPr>
            <w:tcW w:w="2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张琼、讲师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仿宋" w:hAnsi="仿宋" w:eastAsia="仿宋" w:cs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10</w:t>
            </w:r>
          </w:p>
        </w:tc>
        <w:tc>
          <w:tcPr>
            <w:tcW w:w="3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抖音短视频对城市品牌的宣传与推广策略研究-以“挑战拍一组城市宣传大片”系列视频为例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赵宇佳</w:t>
            </w:r>
          </w:p>
        </w:tc>
        <w:tc>
          <w:tcPr>
            <w:tcW w:w="18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传播学</w:t>
            </w:r>
          </w:p>
        </w:tc>
        <w:tc>
          <w:tcPr>
            <w:tcW w:w="2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朱铭亮、高级实验师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仿宋" w:hAnsi="仿宋" w:eastAsia="仿宋" w:cs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11</w:t>
            </w:r>
          </w:p>
        </w:tc>
        <w:tc>
          <w:tcPr>
            <w:tcW w:w="3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美妆类“沉浸式短视频”传播研究-以抖音平台为例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郑妍</w:t>
            </w:r>
          </w:p>
        </w:tc>
        <w:tc>
          <w:tcPr>
            <w:tcW w:w="18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传播学</w:t>
            </w:r>
          </w:p>
        </w:tc>
        <w:tc>
          <w:tcPr>
            <w:tcW w:w="2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朱铭亮、高级实验师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hint="default" w:ascii="仿宋" w:hAnsi="仿宋" w:eastAsia="仿宋" w:cs="仿宋"/>
                <w:bCs/>
                <w:color w:val="000000"/>
                <w:szCs w:val="21"/>
                <w:lang w:val="en-US" w:eastAsia="zh-CN"/>
              </w:rPr>
            </w:pPr>
          </w:p>
        </w:tc>
        <w:tc>
          <w:tcPr>
            <w:tcW w:w="3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8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bCs/>
                <w:color w:val="000000"/>
                <w:szCs w:val="21"/>
              </w:rPr>
            </w:pPr>
          </w:p>
        </w:tc>
        <w:tc>
          <w:tcPr>
            <w:tcW w:w="3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8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bCs/>
                <w:color w:val="000000"/>
                <w:szCs w:val="21"/>
              </w:rPr>
            </w:pPr>
          </w:p>
        </w:tc>
        <w:tc>
          <w:tcPr>
            <w:tcW w:w="3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8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bCs/>
                <w:color w:val="000000"/>
                <w:szCs w:val="21"/>
              </w:rPr>
            </w:pPr>
          </w:p>
        </w:tc>
        <w:tc>
          <w:tcPr>
            <w:tcW w:w="3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8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</w:tbl>
    <w:p>
      <w:pPr>
        <w:spacing w:line="440" w:lineRule="exact"/>
        <w:rPr>
          <w:rFonts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 xml:space="preserve">填报人签名： 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刘玲美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 xml:space="preserve">       学院毕业论文（设计）工作委员会主任签名：</w:t>
      </w:r>
    </w:p>
    <w:p>
      <w:pPr>
        <w:spacing w:line="440" w:lineRule="exact"/>
        <w:rPr>
          <w:rFonts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年  月  日                                  　　　　   年  月  日</w:t>
      </w:r>
    </w:p>
    <w:p>
      <w:pPr>
        <w:spacing w:line="440" w:lineRule="exact"/>
        <w:rPr>
          <w:rFonts w:ascii="仿宋" w:hAnsi="仿宋" w:eastAsia="仿宋" w:cs="仿宋"/>
          <w:b/>
          <w:bCs/>
          <w:color w:val="00000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hiNzViY2VjZWRlNTc2YjhlNzhhNjMwMjA3OGJjMzgifQ=="/>
  </w:docVars>
  <w:rsids>
    <w:rsidRoot w:val="00777365"/>
    <w:rsid w:val="002C1DD5"/>
    <w:rsid w:val="002D761C"/>
    <w:rsid w:val="002F1170"/>
    <w:rsid w:val="00505A20"/>
    <w:rsid w:val="0054271D"/>
    <w:rsid w:val="00596660"/>
    <w:rsid w:val="00777365"/>
    <w:rsid w:val="008C2517"/>
    <w:rsid w:val="00B23FA2"/>
    <w:rsid w:val="00DA3EB9"/>
    <w:rsid w:val="1383642C"/>
    <w:rsid w:val="29472A2B"/>
    <w:rsid w:val="2C9D4F11"/>
    <w:rsid w:val="355937F5"/>
    <w:rsid w:val="4B510B5E"/>
    <w:rsid w:val="59AB1D3A"/>
    <w:rsid w:val="6D0117F2"/>
    <w:rsid w:val="71A37824"/>
    <w:rsid w:val="791F53B7"/>
    <w:rsid w:val="794F70B5"/>
    <w:rsid w:val="7CBB6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before="240" w:after="240" w:line="360" w:lineRule="auto"/>
      <w:jc w:val="center"/>
      <w:outlineLvl w:val="0"/>
    </w:pPr>
    <w:rPr>
      <w:rFonts w:eastAsia="仿宋_GB2312"/>
      <w:b/>
      <w:bCs/>
      <w:kern w:val="44"/>
      <w:sz w:val="36"/>
      <w:szCs w:val="44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标题 1 字符"/>
    <w:basedOn w:val="7"/>
    <w:link w:val="2"/>
    <w:qFormat/>
    <w:uiPriority w:val="0"/>
    <w:rPr>
      <w:rFonts w:ascii="Times New Roman" w:hAnsi="Times New Roman" w:eastAsia="仿宋_GB2312" w:cs="Times New Roman"/>
      <w:b/>
      <w:bCs/>
      <w:kern w:val="44"/>
      <w:sz w:val="36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98</Words>
  <Characters>101</Characters>
  <Lines>2</Lines>
  <Paragraphs>1</Paragraphs>
  <TotalTime>5</TotalTime>
  <ScaleCrop>false</ScaleCrop>
  <LinksUpToDate>false</LinksUpToDate>
  <CharactersWithSpaces>170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2022-05-16T03:02:00Z</dcterms:created>
  <dc:creator>肖爱清</dc:creator>
  <cp:lastModifiedBy>Administrator</cp:lastModifiedBy>
  <cp:lastPrinted>2023-05-18T02:15:00Z</cp:lastPrinted>
  <dcterms:modified xsi:type="dcterms:W3CDTF">2023-05-18T02:33:16Z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D4874235860945C286798A7DCD4A7F7D</vt:lpwstr>
  </property>
</Properties>
</file>