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56" w:after="156" w:line="360" w:lineRule="auto"/>
        <w:rPr>
          <w:rFonts w:hint="eastAsia" w:ascii="黑体" w:hAnsi="黑体" w:eastAsia="黑体" w:cs="黑体"/>
          <w:b/>
          <w:color w:val="auto"/>
          <w:sz w:val="40"/>
          <w:szCs w:val="52"/>
        </w:rPr>
      </w:pPr>
      <w:bookmarkStart w:id="0" w:name="_Toc525115483"/>
      <w:r>
        <w:rPr>
          <w:rFonts w:hint="eastAsia" w:ascii="黑体" w:hAnsi="黑体" w:eastAsia="黑体" w:cs="黑体"/>
          <w:b/>
          <w:color w:val="auto"/>
          <w:sz w:val="40"/>
          <w:szCs w:val="52"/>
        </w:rPr>
        <w:t>教育与音乐学院转专业</w:t>
      </w:r>
      <w:bookmarkEnd w:id="0"/>
      <w:r>
        <w:rPr>
          <w:rFonts w:hint="eastAsia" w:ascii="黑体" w:hAnsi="黑体" w:eastAsia="黑体" w:cs="黑体"/>
          <w:b/>
          <w:color w:val="auto"/>
          <w:sz w:val="40"/>
          <w:szCs w:val="52"/>
        </w:rPr>
        <w:t>工作方案</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为了做好我院学生转专业的工作，根据《三明学院转专业管理办法（修订）》要求，经我院党政联席会研究，制定学生转专业考核办法，内容如下：</w:t>
      </w:r>
    </w:p>
    <w:p>
      <w:pPr>
        <w:tabs>
          <w:tab w:val="left" w:pos="7797"/>
        </w:tabs>
        <w:spacing w:line="360" w:lineRule="auto"/>
        <w:ind w:firstLine="602" w:firstLineChars="200"/>
        <w:rPr>
          <w:rFonts w:hint="eastAsia" w:ascii="仿宋_GB2312" w:hAnsi="仿宋_GB2312" w:eastAsia="仿宋_GB2312" w:cs="仿宋_GB2312"/>
          <w:b/>
          <w:bCs/>
          <w:color w:val="auto"/>
          <w:kern w:val="36"/>
          <w:sz w:val="30"/>
          <w:szCs w:val="30"/>
        </w:rPr>
      </w:pPr>
      <w:r>
        <w:rPr>
          <w:rFonts w:hint="eastAsia" w:ascii="仿宋_GB2312" w:hAnsi="仿宋_GB2312" w:eastAsia="仿宋_GB2312" w:cs="仿宋_GB2312"/>
          <w:b/>
          <w:bCs/>
          <w:color w:val="auto"/>
          <w:sz w:val="30"/>
          <w:szCs w:val="30"/>
        </w:rPr>
        <w:t>一、基本原则</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学生转专业工作应遵循学校教学资源允许、学生自愿、双向选择、公平考核、择优录取的原则。</w:t>
      </w:r>
    </w:p>
    <w:p>
      <w:pPr>
        <w:tabs>
          <w:tab w:val="left" w:pos="7797"/>
        </w:tabs>
        <w:spacing w:line="360" w:lineRule="auto"/>
        <w:ind w:firstLine="602" w:firstLineChars="200"/>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二、基本条件</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 xml:space="preserve">（一）入学已满一学期且处于非毕业学年的学生符合下列条件之一的，可申请转专业：  </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 xml:space="preserve">1.入学后发现某种疾病或生理缺陷，经学校指定的医院检查，证明不能在原专业学习，但尚能在其他专业学习的； </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2.闽台合作项目学生可在本项目范围内转专业或转入国际课程项目专业；国际课程项目学生仅可在本项目范围内转专业；非闽台合作项目和非国际课程项目学生可转入到闽台合作项目或国际课程项目专业；</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 xml:space="preserve">3.休学、保留学籍或保留入学资格期满，在复学或重新入学时，学校因故调整专业或某专业停招，无法安排在原专业学习的； </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4.休学创业或退役后复学的，因自身情况需要转专业的学生，予以优先考虑；</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5.身体条件及学习成绩符合转入专业学习要求；</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6.上级主管部门规定可以转专业的。</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（二）有下列情形之一的，不得转专业：</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1.入学未满一学期或处于毕业学年的；</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2.已有一次转专业经历的；</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3.经转学进入我校学习的；</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4.体育、艺术类专业与普通专业不得互转；</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5.由低学历层次转入高学历层次的；</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6.受退学处理或开除学籍处分的；</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7.保留入学资格、保留学籍、休学期间的；</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8.普通专科升入普通本科、三二分段制、五年一贯制、高职院校分类考试进入本科、从预科班录取的少数民族学生、公费师范生等招生录取时有特殊要求的学生，原则上不得办理转专业。因特殊情况提出转专业申请的，经学校审核后，报省教育厅批准；</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9.其他无正当理由或不符合上级主管部门规定的。</w:t>
      </w:r>
    </w:p>
    <w:p>
      <w:pPr>
        <w:tabs>
          <w:tab w:val="left" w:pos="7797"/>
        </w:tabs>
        <w:spacing w:line="360" w:lineRule="auto"/>
        <w:ind w:firstLine="602" w:firstLineChars="200"/>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三、转专业方案及考核办法</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 xml:space="preserve">秉承“以生为本”的教育教学理念，从充分尊重学生个人志向和学习兴趣，调动学生学习积极性和主动性角度考虑，制定办法如下： </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 xml:space="preserve"> </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（一）转出计划学生数</w:t>
      </w:r>
    </w:p>
    <w:tbl>
      <w:tblPr>
        <w:tblStyle w:val="7"/>
        <w:tblpPr w:leftFromText="180" w:rightFromText="180" w:vertAnchor="text" w:horzAnchor="page" w:tblpX="1762" w:tblpY="236"/>
        <w:tblOverlap w:val="never"/>
        <w:tblW w:w="88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6"/>
        <w:gridCol w:w="2100"/>
        <w:gridCol w:w="2013"/>
        <w:gridCol w:w="1659"/>
        <w:gridCol w:w="2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826" w:type="dxa"/>
            <w:vAlign w:val="center"/>
          </w:tcPr>
          <w:p>
            <w:pPr>
              <w:widowControl/>
              <w:spacing w:line="360" w:lineRule="auto"/>
              <w:jc w:val="center"/>
              <w:rPr>
                <w:rFonts w:hint="eastAsia" w:ascii="仿宋_GB2312" w:hAnsi="仿宋_GB2312" w:eastAsia="仿宋_GB2312" w:cs="仿宋_GB2312"/>
                <w:b/>
                <w:bCs/>
                <w:color w:val="auto"/>
                <w:kern w:val="0"/>
                <w:sz w:val="24"/>
                <w:szCs w:val="24"/>
              </w:rPr>
            </w:pPr>
            <w:r>
              <w:rPr>
                <w:rFonts w:hint="eastAsia" w:ascii="仿宋_GB2312" w:hAnsi="仿宋_GB2312" w:eastAsia="仿宋_GB2312" w:cs="仿宋_GB2312"/>
                <w:b/>
                <w:bCs/>
                <w:color w:val="auto"/>
                <w:kern w:val="0"/>
                <w:sz w:val="24"/>
                <w:szCs w:val="24"/>
              </w:rPr>
              <w:t>序号</w:t>
            </w:r>
          </w:p>
        </w:tc>
        <w:tc>
          <w:tcPr>
            <w:tcW w:w="2100" w:type="dxa"/>
            <w:vAlign w:val="center"/>
          </w:tcPr>
          <w:p>
            <w:pPr>
              <w:widowControl/>
              <w:spacing w:line="360" w:lineRule="auto"/>
              <w:jc w:val="center"/>
              <w:rPr>
                <w:rFonts w:hint="eastAsia" w:ascii="仿宋_GB2312" w:hAnsi="仿宋_GB2312" w:eastAsia="仿宋_GB2312" w:cs="仿宋_GB2312"/>
                <w:b/>
                <w:bCs/>
                <w:color w:val="auto"/>
                <w:kern w:val="0"/>
                <w:sz w:val="24"/>
                <w:szCs w:val="24"/>
              </w:rPr>
            </w:pPr>
            <w:r>
              <w:rPr>
                <w:rFonts w:hint="eastAsia" w:ascii="仿宋_GB2312" w:hAnsi="仿宋_GB2312" w:eastAsia="仿宋_GB2312" w:cs="仿宋_GB2312"/>
                <w:b/>
                <w:bCs/>
                <w:color w:val="auto"/>
                <w:kern w:val="0"/>
                <w:sz w:val="24"/>
                <w:szCs w:val="24"/>
              </w:rPr>
              <w:t>专  业</w:t>
            </w:r>
          </w:p>
        </w:tc>
        <w:tc>
          <w:tcPr>
            <w:tcW w:w="2013" w:type="dxa"/>
            <w:vAlign w:val="center"/>
          </w:tcPr>
          <w:p>
            <w:pPr>
              <w:spacing w:line="360" w:lineRule="auto"/>
              <w:jc w:val="center"/>
              <w:rPr>
                <w:rFonts w:hint="eastAsia" w:ascii="仿宋_GB2312" w:hAnsi="仿宋_GB2312" w:eastAsia="仿宋_GB2312" w:cs="仿宋_GB2312"/>
                <w:b/>
                <w:bCs/>
                <w:color w:val="auto"/>
                <w:kern w:val="0"/>
                <w:sz w:val="24"/>
                <w:szCs w:val="24"/>
              </w:rPr>
            </w:pPr>
            <w:r>
              <w:rPr>
                <w:rFonts w:hint="eastAsia" w:ascii="仿宋_GB2312" w:hAnsi="仿宋_GB2312" w:eastAsia="仿宋_GB2312" w:cs="仿宋_GB2312"/>
                <w:b/>
                <w:bCs/>
                <w:color w:val="auto"/>
                <w:kern w:val="0"/>
                <w:sz w:val="24"/>
                <w:szCs w:val="24"/>
              </w:rPr>
              <w:t>202</w:t>
            </w:r>
            <w:r>
              <w:rPr>
                <w:rFonts w:hint="eastAsia" w:ascii="仿宋_GB2312" w:hAnsi="仿宋_GB2312" w:eastAsia="仿宋_GB2312" w:cs="仿宋_GB2312"/>
                <w:b/>
                <w:bCs/>
                <w:color w:val="auto"/>
                <w:kern w:val="0"/>
                <w:sz w:val="24"/>
                <w:szCs w:val="24"/>
                <w:lang w:val="en-US" w:eastAsia="zh-CN"/>
              </w:rPr>
              <w:t>2</w:t>
            </w:r>
            <w:r>
              <w:rPr>
                <w:rFonts w:hint="eastAsia" w:ascii="仿宋_GB2312" w:hAnsi="仿宋_GB2312" w:eastAsia="仿宋_GB2312" w:cs="仿宋_GB2312"/>
                <w:b/>
                <w:bCs/>
                <w:color w:val="auto"/>
                <w:kern w:val="0"/>
                <w:sz w:val="24"/>
                <w:szCs w:val="24"/>
              </w:rPr>
              <w:t>级实际招生数（人）</w:t>
            </w:r>
          </w:p>
        </w:tc>
        <w:tc>
          <w:tcPr>
            <w:tcW w:w="1659" w:type="dxa"/>
            <w:vAlign w:val="center"/>
          </w:tcPr>
          <w:p>
            <w:pPr>
              <w:widowControl/>
              <w:spacing w:line="360" w:lineRule="auto"/>
              <w:jc w:val="center"/>
              <w:rPr>
                <w:rFonts w:hint="eastAsia" w:ascii="仿宋_GB2312" w:hAnsi="仿宋_GB2312" w:eastAsia="仿宋_GB2312" w:cs="仿宋_GB2312"/>
                <w:b/>
                <w:bCs/>
                <w:color w:val="auto"/>
                <w:kern w:val="0"/>
                <w:sz w:val="24"/>
                <w:szCs w:val="24"/>
              </w:rPr>
            </w:pPr>
            <w:r>
              <w:rPr>
                <w:rFonts w:hint="eastAsia" w:ascii="仿宋_GB2312" w:hAnsi="仿宋_GB2312" w:eastAsia="仿宋_GB2312" w:cs="仿宋_GB2312"/>
                <w:b/>
                <w:bCs/>
                <w:color w:val="auto"/>
                <w:kern w:val="0"/>
                <w:sz w:val="24"/>
                <w:szCs w:val="24"/>
              </w:rPr>
              <w:t>可转出</w:t>
            </w:r>
          </w:p>
          <w:p>
            <w:pPr>
              <w:widowControl/>
              <w:spacing w:line="360" w:lineRule="auto"/>
              <w:jc w:val="center"/>
              <w:rPr>
                <w:rFonts w:hint="eastAsia" w:ascii="仿宋_GB2312" w:hAnsi="仿宋_GB2312" w:eastAsia="仿宋_GB2312" w:cs="仿宋_GB2312"/>
                <w:b/>
                <w:bCs/>
                <w:color w:val="auto"/>
                <w:kern w:val="0"/>
                <w:sz w:val="24"/>
                <w:szCs w:val="24"/>
              </w:rPr>
            </w:pPr>
            <w:r>
              <w:rPr>
                <w:rFonts w:hint="eastAsia" w:ascii="仿宋_GB2312" w:hAnsi="仿宋_GB2312" w:eastAsia="仿宋_GB2312" w:cs="仿宋_GB2312"/>
                <w:b/>
                <w:bCs/>
                <w:color w:val="auto"/>
                <w:kern w:val="0"/>
                <w:sz w:val="24"/>
                <w:szCs w:val="24"/>
              </w:rPr>
              <w:t>学生数（人）</w:t>
            </w:r>
          </w:p>
        </w:tc>
        <w:tc>
          <w:tcPr>
            <w:tcW w:w="2238" w:type="dxa"/>
            <w:vAlign w:val="center"/>
          </w:tcPr>
          <w:p>
            <w:pPr>
              <w:widowControl/>
              <w:spacing w:line="360" w:lineRule="auto"/>
              <w:jc w:val="center"/>
              <w:rPr>
                <w:rFonts w:hint="eastAsia" w:ascii="仿宋_GB2312" w:hAnsi="仿宋_GB2312" w:eastAsia="仿宋_GB2312" w:cs="仿宋_GB2312"/>
                <w:b/>
                <w:bCs/>
                <w:color w:val="auto"/>
                <w:kern w:val="0"/>
                <w:sz w:val="24"/>
                <w:szCs w:val="24"/>
              </w:rPr>
            </w:pPr>
          </w:p>
          <w:p>
            <w:pPr>
              <w:widowControl/>
              <w:spacing w:line="360" w:lineRule="auto"/>
              <w:jc w:val="center"/>
              <w:rPr>
                <w:rFonts w:hint="eastAsia" w:ascii="仿宋_GB2312" w:hAnsi="仿宋_GB2312" w:eastAsia="仿宋_GB2312" w:cs="仿宋_GB2312"/>
                <w:b/>
                <w:bCs/>
                <w:color w:val="auto"/>
                <w:kern w:val="0"/>
                <w:sz w:val="24"/>
                <w:szCs w:val="24"/>
              </w:rPr>
            </w:pPr>
            <w:r>
              <w:rPr>
                <w:rFonts w:hint="eastAsia" w:ascii="仿宋_GB2312" w:hAnsi="仿宋_GB2312" w:eastAsia="仿宋_GB2312" w:cs="仿宋_GB2312"/>
                <w:b/>
                <w:bCs/>
                <w:color w:val="auto"/>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826"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p>
        </w:tc>
        <w:tc>
          <w:tcPr>
            <w:tcW w:w="2100"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小学教育（师）</w:t>
            </w:r>
          </w:p>
        </w:tc>
        <w:tc>
          <w:tcPr>
            <w:tcW w:w="2013"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150（非公费</w:t>
            </w:r>
            <w:r>
              <w:rPr>
                <w:rFonts w:hint="eastAsia" w:ascii="仿宋_GB2312" w:hAnsi="仿宋_GB2312" w:eastAsia="仿宋_GB2312" w:cs="仿宋_GB2312"/>
                <w:color w:val="auto"/>
                <w:sz w:val="24"/>
                <w:szCs w:val="24"/>
                <w:lang w:val="en-US" w:eastAsia="zh-CN"/>
              </w:rPr>
              <w:t>79</w:t>
            </w:r>
            <w:r>
              <w:rPr>
                <w:rFonts w:hint="eastAsia" w:ascii="仿宋_GB2312" w:hAnsi="仿宋_GB2312" w:eastAsia="仿宋_GB2312" w:cs="仿宋_GB2312"/>
                <w:color w:val="auto"/>
                <w:sz w:val="24"/>
                <w:szCs w:val="24"/>
              </w:rPr>
              <w:t>人）</w:t>
            </w:r>
          </w:p>
        </w:tc>
        <w:tc>
          <w:tcPr>
            <w:tcW w:w="1659" w:type="dxa"/>
            <w:vAlign w:val="center"/>
          </w:tcPr>
          <w:p>
            <w:pPr>
              <w:spacing w:line="360" w:lineRule="auto"/>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12</w:t>
            </w:r>
          </w:p>
        </w:tc>
        <w:tc>
          <w:tcPr>
            <w:tcW w:w="2238" w:type="dxa"/>
            <w:vAlign w:val="center"/>
          </w:tcPr>
          <w:p>
            <w:pPr>
              <w:spacing w:line="360" w:lineRule="auto"/>
              <w:jc w:val="center"/>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826"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w:t>
            </w:r>
          </w:p>
        </w:tc>
        <w:tc>
          <w:tcPr>
            <w:tcW w:w="2100"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学前教育（师）</w:t>
            </w:r>
          </w:p>
        </w:tc>
        <w:tc>
          <w:tcPr>
            <w:tcW w:w="2013"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48</w:t>
            </w:r>
            <w:r>
              <w:rPr>
                <w:rFonts w:hint="eastAsia" w:ascii="仿宋_GB2312" w:hAnsi="仿宋_GB2312" w:eastAsia="仿宋_GB2312" w:cs="仿宋_GB2312"/>
                <w:color w:val="auto"/>
                <w:sz w:val="24"/>
                <w:szCs w:val="24"/>
              </w:rPr>
              <w:t>(非公费</w:t>
            </w:r>
            <w:r>
              <w:rPr>
                <w:rFonts w:hint="eastAsia" w:ascii="仿宋_GB2312" w:hAnsi="仿宋_GB2312" w:eastAsia="仿宋_GB2312" w:cs="仿宋_GB2312"/>
                <w:color w:val="auto"/>
                <w:sz w:val="24"/>
                <w:szCs w:val="24"/>
                <w:lang w:val="en-US" w:eastAsia="zh-CN"/>
              </w:rPr>
              <w:t>35</w:t>
            </w:r>
            <w:r>
              <w:rPr>
                <w:rFonts w:hint="eastAsia" w:ascii="仿宋_GB2312" w:hAnsi="仿宋_GB2312" w:eastAsia="仿宋_GB2312" w:cs="仿宋_GB2312"/>
                <w:color w:val="auto"/>
                <w:sz w:val="24"/>
                <w:szCs w:val="24"/>
              </w:rPr>
              <w:t>人）</w:t>
            </w:r>
          </w:p>
        </w:tc>
        <w:tc>
          <w:tcPr>
            <w:tcW w:w="1659" w:type="dxa"/>
            <w:vAlign w:val="center"/>
          </w:tcPr>
          <w:p>
            <w:pPr>
              <w:spacing w:line="360" w:lineRule="auto"/>
              <w:jc w:val="center"/>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5</w:t>
            </w:r>
          </w:p>
        </w:tc>
        <w:tc>
          <w:tcPr>
            <w:tcW w:w="2238" w:type="dxa"/>
            <w:vAlign w:val="center"/>
          </w:tcPr>
          <w:p>
            <w:pPr>
              <w:spacing w:line="360" w:lineRule="auto"/>
              <w:jc w:val="center"/>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 w:hRule="atLeast"/>
        </w:trPr>
        <w:tc>
          <w:tcPr>
            <w:tcW w:w="826"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w:t>
            </w:r>
          </w:p>
        </w:tc>
        <w:tc>
          <w:tcPr>
            <w:tcW w:w="2100"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音乐学（师）</w:t>
            </w:r>
          </w:p>
        </w:tc>
        <w:tc>
          <w:tcPr>
            <w:tcW w:w="2013" w:type="dxa"/>
            <w:vAlign w:val="center"/>
          </w:tcPr>
          <w:p>
            <w:pPr>
              <w:spacing w:line="360" w:lineRule="auto"/>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59</w:t>
            </w:r>
          </w:p>
        </w:tc>
        <w:tc>
          <w:tcPr>
            <w:tcW w:w="1659"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0</w:t>
            </w:r>
          </w:p>
        </w:tc>
        <w:tc>
          <w:tcPr>
            <w:tcW w:w="2238"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转专业（转出）后，各班级人数不少于30人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826"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4</w:t>
            </w:r>
          </w:p>
        </w:tc>
        <w:tc>
          <w:tcPr>
            <w:tcW w:w="2100"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音乐学（非师）</w:t>
            </w:r>
          </w:p>
        </w:tc>
        <w:tc>
          <w:tcPr>
            <w:tcW w:w="2013" w:type="dxa"/>
            <w:vAlign w:val="center"/>
          </w:tcPr>
          <w:p>
            <w:pPr>
              <w:spacing w:line="360" w:lineRule="auto"/>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41</w:t>
            </w:r>
          </w:p>
        </w:tc>
        <w:tc>
          <w:tcPr>
            <w:tcW w:w="1659" w:type="dxa"/>
            <w:vAlign w:val="center"/>
          </w:tcPr>
          <w:p>
            <w:pPr>
              <w:spacing w:line="360" w:lineRule="auto"/>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w:t>
            </w:r>
          </w:p>
        </w:tc>
        <w:tc>
          <w:tcPr>
            <w:tcW w:w="2238" w:type="dxa"/>
            <w:vAlign w:val="center"/>
          </w:tcPr>
          <w:p>
            <w:pPr>
              <w:spacing w:line="360" w:lineRule="auto"/>
              <w:jc w:val="center"/>
              <w:rPr>
                <w:rFonts w:hint="eastAsia" w:ascii="仿宋_GB2312" w:hAnsi="仿宋_GB2312" w:eastAsia="仿宋_GB2312" w:cs="仿宋_GB2312"/>
                <w:color w:val="auto"/>
                <w:sz w:val="24"/>
                <w:szCs w:val="24"/>
              </w:rPr>
            </w:pPr>
          </w:p>
        </w:tc>
      </w:tr>
    </w:tbl>
    <w:p>
      <w:pPr>
        <w:spacing w:line="360" w:lineRule="auto"/>
        <w:rPr>
          <w:rFonts w:hint="eastAsia" w:ascii="仿宋_GB2312" w:hAnsi="仿宋_GB2312" w:eastAsia="仿宋_GB2312" w:cs="仿宋_GB2312"/>
          <w:color w:val="auto"/>
          <w:kern w:val="0"/>
          <w:sz w:val="30"/>
          <w:szCs w:val="30"/>
        </w:rPr>
      </w:pP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（二）转入计划学生数</w:t>
      </w:r>
    </w:p>
    <w:tbl>
      <w:tblPr>
        <w:tblStyle w:val="7"/>
        <w:tblpPr w:leftFromText="180" w:rightFromText="180" w:vertAnchor="text" w:horzAnchor="page" w:tblpX="1762" w:tblpY="236"/>
        <w:tblOverlap w:val="never"/>
        <w:tblW w:w="8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1757"/>
        <w:gridCol w:w="2023"/>
        <w:gridCol w:w="1868"/>
        <w:gridCol w:w="1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1090" w:type="dxa"/>
            <w:vAlign w:val="center"/>
          </w:tcPr>
          <w:p>
            <w:pPr>
              <w:widowControl/>
              <w:spacing w:line="360" w:lineRule="auto"/>
              <w:jc w:val="center"/>
              <w:rPr>
                <w:rFonts w:hint="eastAsia" w:ascii="仿宋_GB2312" w:hAnsi="仿宋_GB2312" w:eastAsia="仿宋_GB2312" w:cs="仿宋_GB2312"/>
                <w:b/>
                <w:bCs/>
                <w:color w:val="auto"/>
                <w:kern w:val="0"/>
                <w:sz w:val="24"/>
                <w:szCs w:val="24"/>
              </w:rPr>
            </w:pPr>
          </w:p>
          <w:p>
            <w:pPr>
              <w:widowControl/>
              <w:spacing w:line="360" w:lineRule="auto"/>
              <w:jc w:val="center"/>
              <w:rPr>
                <w:rFonts w:hint="eastAsia" w:ascii="仿宋_GB2312" w:hAnsi="仿宋_GB2312" w:eastAsia="仿宋_GB2312" w:cs="仿宋_GB2312"/>
                <w:b/>
                <w:bCs/>
                <w:color w:val="auto"/>
                <w:kern w:val="0"/>
                <w:sz w:val="24"/>
                <w:szCs w:val="24"/>
              </w:rPr>
            </w:pPr>
            <w:r>
              <w:rPr>
                <w:rFonts w:hint="eastAsia" w:ascii="仿宋_GB2312" w:hAnsi="仿宋_GB2312" w:eastAsia="仿宋_GB2312" w:cs="仿宋_GB2312"/>
                <w:b/>
                <w:bCs/>
                <w:color w:val="auto"/>
                <w:kern w:val="0"/>
                <w:sz w:val="24"/>
                <w:szCs w:val="24"/>
              </w:rPr>
              <w:t>序号</w:t>
            </w:r>
          </w:p>
          <w:p>
            <w:pPr>
              <w:widowControl/>
              <w:spacing w:line="360" w:lineRule="auto"/>
              <w:jc w:val="center"/>
              <w:rPr>
                <w:rFonts w:hint="eastAsia" w:ascii="仿宋_GB2312" w:hAnsi="仿宋_GB2312" w:eastAsia="仿宋_GB2312" w:cs="仿宋_GB2312"/>
                <w:b/>
                <w:bCs/>
                <w:color w:val="auto"/>
                <w:kern w:val="0"/>
                <w:sz w:val="24"/>
                <w:szCs w:val="24"/>
              </w:rPr>
            </w:pPr>
          </w:p>
        </w:tc>
        <w:tc>
          <w:tcPr>
            <w:tcW w:w="1757" w:type="dxa"/>
            <w:vAlign w:val="center"/>
          </w:tcPr>
          <w:p>
            <w:pPr>
              <w:widowControl/>
              <w:spacing w:line="360" w:lineRule="auto"/>
              <w:jc w:val="center"/>
              <w:rPr>
                <w:rFonts w:hint="eastAsia" w:ascii="仿宋_GB2312" w:hAnsi="仿宋_GB2312" w:eastAsia="仿宋_GB2312" w:cs="仿宋_GB2312"/>
                <w:b/>
                <w:bCs/>
                <w:color w:val="auto"/>
                <w:kern w:val="0"/>
                <w:sz w:val="24"/>
                <w:szCs w:val="24"/>
              </w:rPr>
            </w:pPr>
            <w:r>
              <w:rPr>
                <w:rFonts w:hint="eastAsia" w:ascii="仿宋_GB2312" w:hAnsi="仿宋_GB2312" w:eastAsia="仿宋_GB2312" w:cs="仿宋_GB2312"/>
                <w:b/>
                <w:bCs/>
                <w:color w:val="auto"/>
                <w:kern w:val="0"/>
                <w:sz w:val="24"/>
                <w:szCs w:val="24"/>
              </w:rPr>
              <w:t>专  业</w:t>
            </w:r>
          </w:p>
        </w:tc>
        <w:tc>
          <w:tcPr>
            <w:tcW w:w="2023" w:type="dxa"/>
            <w:vAlign w:val="center"/>
          </w:tcPr>
          <w:p>
            <w:pPr>
              <w:spacing w:line="360" w:lineRule="auto"/>
              <w:jc w:val="center"/>
              <w:rPr>
                <w:rFonts w:hint="eastAsia" w:ascii="仿宋_GB2312" w:hAnsi="仿宋_GB2312" w:eastAsia="仿宋_GB2312" w:cs="仿宋_GB2312"/>
                <w:b/>
                <w:bCs/>
                <w:color w:val="auto"/>
                <w:kern w:val="0"/>
                <w:sz w:val="24"/>
                <w:szCs w:val="24"/>
              </w:rPr>
            </w:pPr>
            <w:r>
              <w:rPr>
                <w:rFonts w:hint="eastAsia" w:ascii="仿宋_GB2312" w:hAnsi="仿宋_GB2312" w:eastAsia="仿宋_GB2312" w:cs="仿宋_GB2312"/>
                <w:b/>
                <w:bCs/>
                <w:color w:val="auto"/>
                <w:kern w:val="0"/>
                <w:sz w:val="24"/>
                <w:szCs w:val="24"/>
              </w:rPr>
              <w:t>202</w:t>
            </w:r>
            <w:r>
              <w:rPr>
                <w:rFonts w:hint="eastAsia" w:ascii="仿宋_GB2312" w:hAnsi="仿宋_GB2312" w:eastAsia="仿宋_GB2312" w:cs="仿宋_GB2312"/>
                <w:b/>
                <w:bCs/>
                <w:color w:val="auto"/>
                <w:kern w:val="0"/>
                <w:sz w:val="24"/>
                <w:szCs w:val="24"/>
                <w:lang w:val="en-US" w:eastAsia="zh-CN"/>
              </w:rPr>
              <w:t>2</w:t>
            </w:r>
            <w:r>
              <w:rPr>
                <w:rFonts w:hint="eastAsia" w:ascii="仿宋_GB2312" w:hAnsi="仿宋_GB2312" w:eastAsia="仿宋_GB2312" w:cs="仿宋_GB2312"/>
                <w:b/>
                <w:bCs/>
                <w:color w:val="auto"/>
                <w:kern w:val="0"/>
                <w:sz w:val="24"/>
                <w:szCs w:val="24"/>
              </w:rPr>
              <w:t>级实际招生数（人）</w:t>
            </w:r>
          </w:p>
        </w:tc>
        <w:tc>
          <w:tcPr>
            <w:tcW w:w="1868" w:type="dxa"/>
            <w:vAlign w:val="center"/>
          </w:tcPr>
          <w:p>
            <w:pPr>
              <w:widowControl/>
              <w:spacing w:line="360" w:lineRule="auto"/>
              <w:jc w:val="center"/>
              <w:rPr>
                <w:rFonts w:hint="eastAsia" w:ascii="仿宋_GB2312" w:hAnsi="仿宋_GB2312" w:eastAsia="仿宋_GB2312" w:cs="仿宋_GB2312"/>
                <w:b/>
                <w:bCs/>
                <w:color w:val="auto"/>
                <w:kern w:val="0"/>
                <w:sz w:val="24"/>
                <w:szCs w:val="24"/>
              </w:rPr>
            </w:pPr>
            <w:r>
              <w:rPr>
                <w:rFonts w:hint="eastAsia" w:ascii="仿宋_GB2312" w:hAnsi="仿宋_GB2312" w:eastAsia="仿宋_GB2312" w:cs="仿宋_GB2312"/>
                <w:b/>
                <w:bCs/>
                <w:color w:val="auto"/>
                <w:kern w:val="0"/>
                <w:sz w:val="24"/>
                <w:szCs w:val="24"/>
              </w:rPr>
              <w:t>可转入</w:t>
            </w:r>
          </w:p>
          <w:p>
            <w:pPr>
              <w:widowControl/>
              <w:spacing w:line="360" w:lineRule="auto"/>
              <w:jc w:val="center"/>
              <w:rPr>
                <w:rFonts w:hint="eastAsia" w:ascii="仿宋_GB2312" w:hAnsi="仿宋_GB2312" w:eastAsia="仿宋_GB2312" w:cs="仿宋_GB2312"/>
                <w:b/>
                <w:bCs/>
                <w:color w:val="auto"/>
                <w:kern w:val="0"/>
                <w:sz w:val="24"/>
                <w:szCs w:val="24"/>
              </w:rPr>
            </w:pPr>
            <w:r>
              <w:rPr>
                <w:rFonts w:hint="eastAsia" w:ascii="仿宋_GB2312" w:hAnsi="仿宋_GB2312" w:eastAsia="仿宋_GB2312" w:cs="仿宋_GB2312"/>
                <w:b/>
                <w:bCs/>
                <w:color w:val="auto"/>
                <w:kern w:val="0"/>
                <w:sz w:val="24"/>
                <w:szCs w:val="24"/>
              </w:rPr>
              <w:t>学生数（人）</w:t>
            </w:r>
          </w:p>
        </w:tc>
        <w:tc>
          <w:tcPr>
            <w:tcW w:w="1779" w:type="dxa"/>
          </w:tcPr>
          <w:p>
            <w:pPr>
              <w:widowControl/>
              <w:spacing w:line="360" w:lineRule="auto"/>
              <w:jc w:val="center"/>
              <w:rPr>
                <w:rFonts w:hint="eastAsia" w:ascii="仿宋_GB2312" w:hAnsi="仿宋_GB2312" w:eastAsia="仿宋_GB2312" w:cs="仿宋_GB2312"/>
                <w:b/>
                <w:bCs/>
                <w:color w:val="auto"/>
                <w:kern w:val="0"/>
                <w:sz w:val="24"/>
                <w:szCs w:val="24"/>
              </w:rPr>
            </w:pPr>
          </w:p>
          <w:p>
            <w:pPr>
              <w:widowControl/>
              <w:spacing w:line="360" w:lineRule="auto"/>
              <w:jc w:val="center"/>
              <w:rPr>
                <w:rFonts w:hint="eastAsia" w:ascii="仿宋_GB2312" w:hAnsi="仿宋_GB2312" w:eastAsia="仿宋_GB2312" w:cs="仿宋_GB2312"/>
                <w:b/>
                <w:bCs/>
                <w:color w:val="auto"/>
                <w:kern w:val="0"/>
                <w:sz w:val="24"/>
                <w:szCs w:val="24"/>
              </w:rPr>
            </w:pPr>
            <w:r>
              <w:rPr>
                <w:rFonts w:hint="eastAsia" w:ascii="仿宋_GB2312" w:hAnsi="仿宋_GB2312" w:eastAsia="仿宋_GB2312" w:cs="仿宋_GB2312"/>
                <w:b/>
                <w:bCs/>
                <w:color w:val="auto"/>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090"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p>
        </w:tc>
        <w:tc>
          <w:tcPr>
            <w:tcW w:w="1757"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小学教育</w:t>
            </w:r>
          </w:p>
        </w:tc>
        <w:tc>
          <w:tcPr>
            <w:tcW w:w="2023" w:type="dxa"/>
            <w:vAlign w:val="center"/>
          </w:tcPr>
          <w:p>
            <w:pPr>
              <w:spacing w:line="360" w:lineRule="auto"/>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150（非公费</w:t>
            </w:r>
            <w:r>
              <w:rPr>
                <w:rFonts w:hint="eastAsia" w:ascii="仿宋_GB2312" w:hAnsi="仿宋_GB2312" w:eastAsia="仿宋_GB2312" w:cs="仿宋_GB2312"/>
                <w:color w:val="auto"/>
                <w:sz w:val="24"/>
                <w:szCs w:val="24"/>
                <w:lang w:val="en-US" w:eastAsia="zh-CN"/>
              </w:rPr>
              <w:t>79</w:t>
            </w:r>
            <w:r>
              <w:rPr>
                <w:rFonts w:hint="eastAsia" w:ascii="仿宋_GB2312" w:hAnsi="仿宋_GB2312" w:eastAsia="仿宋_GB2312" w:cs="仿宋_GB2312"/>
                <w:color w:val="auto"/>
                <w:sz w:val="24"/>
                <w:szCs w:val="24"/>
              </w:rPr>
              <w:t>人）</w:t>
            </w:r>
          </w:p>
        </w:tc>
        <w:tc>
          <w:tcPr>
            <w:tcW w:w="1868" w:type="dxa"/>
            <w:vAlign w:val="center"/>
          </w:tcPr>
          <w:p>
            <w:pPr>
              <w:spacing w:line="360" w:lineRule="auto"/>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15</w:t>
            </w:r>
          </w:p>
        </w:tc>
        <w:tc>
          <w:tcPr>
            <w:tcW w:w="1779"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每班人数上限55人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090"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w:t>
            </w:r>
          </w:p>
        </w:tc>
        <w:tc>
          <w:tcPr>
            <w:tcW w:w="1757"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学前教育（师）</w:t>
            </w:r>
          </w:p>
        </w:tc>
        <w:tc>
          <w:tcPr>
            <w:tcW w:w="2023"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48</w:t>
            </w:r>
            <w:r>
              <w:rPr>
                <w:rFonts w:hint="eastAsia" w:ascii="仿宋_GB2312" w:hAnsi="仿宋_GB2312" w:eastAsia="仿宋_GB2312" w:cs="仿宋_GB2312"/>
                <w:color w:val="auto"/>
                <w:sz w:val="24"/>
                <w:szCs w:val="24"/>
              </w:rPr>
              <w:t>(非公费</w:t>
            </w:r>
            <w:r>
              <w:rPr>
                <w:rFonts w:hint="eastAsia" w:ascii="仿宋_GB2312" w:hAnsi="仿宋_GB2312" w:eastAsia="仿宋_GB2312" w:cs="仿宋_GB2312"/>
                <w:color w:val="auto"/>
                <w:sz w:val="24"/>
                <w:szCs w:val="24"/>
                <w:lang w:val="en-US" w:eastAsia="zh-CN"/>
              </w:rPr>
              <w:t>35</w:t>
            </w:r>
            <w:r>
              <w:rPr>
                <w:rFonts w:hint="eastAsia" w:ascii="仿宋_GB2312" w:hAnsi="仿宋_GB2312" w:eastAsia="仿宋_GB2312" w:cs="仿宋_GB2312"/>
                <w:color w:val="auto"/>
                <w:sz w:val="24"/>
                <w:szCs w:val="24"/>
              </w:rPr>
              <w:t>人）</w:t>
            </w:r>
          </w:p>
        </w:tc>
        <w:tc>
          <w:tcPr>
            <w:tcW w:w="1868"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7</w:t>
            </w:r>
          </w:p>
        </w:tc>
        <w:tc>
          <w:tcPr>
            <w:tcW w:w="1779" w:type="dxa"/>
            <w:vAlign w:val="center"/>
          </w:tcPr>
          <w:p>
            <w:pPr>
              <w:spacing w:line="360" w:lineRule="auto"/>
              <w:jc w:val="center"/>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90"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w:t>
            </w:r>
          </w:p>
        </w:tc>
        <w:tc>
          <w:tcPr>
            <w:tcW w:w="1757"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音乐学（师）</w:t>
            </w:r>
          </w:p>
        </w:tc>
        <w:tc>
          <w:tcPr>
            <w:tcW w:w="2023"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59</w:t>
            </w:r>
          </w:p>
        </w:tc>
        <w:tc>
          <w:tcPr>
            <w:tcW w:w="1868" w:type="dxa"/>
            <w:vAlign w:val="center"/>
          </w:tcPr>
          <w:p>
            <w:pPr>
              <w:spacing w:line="360" w:lineRule="auto"/>
              <w:jc w:val="center"/>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9</w:t>
            </w:r>
          </w:p>
        </w:tc>
        <w:tc>
          <w:tcPr>
            <w:tcW w:w="1779" w:type="dxa"/>
            <w:vAlign w:val="center"/>
          </w:tcPr>
          <w:p>
            <w:pPr>
              <w:spacing w:line="360" w:lineRule="auto"/>
              <w:jc w:val="center"/>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090"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4</w:t>
            </w:r>
          </w:p>
        </w:tc>
        <w:tc>
          <w:tcPr>
            <w:tcW w:w="1757"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音乐学（非师）</w:t>
            </w:r>
          </w:p>
        </w:tc>
        <w:tc>
          <w:tcPr>
            <w:tcW w:w="2023"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41</w:t>
            </w:r>
          </w:p>
        </w:tc>
        <w:tc>
          <w:tcPr>
            <w:tcW w:w="1868" w:type="dxa"/>
            <w:vAlign w:val="center"/>
          </w:tcPr>
          <w:p>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6</w:t>
            </w:r>
          </w:p>
        </w:tc>
        <w:tc>
          <w:tcPr>
            <w:tcW w:w="1779" w:type="dxa"/>
            <w:vAlign w:val="center"/>
          </w:tcPr>
          <w:p>
            <w:pPr>
              <w:spacing w:line="360" w:lineRule="auto"/>
              <w:jc w:val="center"/>
              <w:rPr>
                <w:rFonts w:hint="eastAsia" w:ascii="仿宋_GB2312" w:hAnsi="仿宋_GB2312" w:eastAsia="仿宋_GB2312" w:cs="仿宋_GB2312"/>
                <w:color w:val="auto"/>
                <w:sz w:val="24"/>
                <w:szCs w:val="24"/>
              </w:rPr>
            </w:pPr>
          </w:p>
        </w:tc>
      </w:tr>
    </w:tbl>
    <w:p>
      <w:pPr>
        <w:spacing w:line="360" w:lineRule="auto"/>
        <w:rPr>
          <w:rFonts w:hint="eastAsia" w:ascii="仿宋_GB2312" w:hAnsi="仿宋_GB2312" w:eastAsia="仿宋_GB2312" w:cs="仿宋_GB2312"/>
          <w:color w:val="auto"/>
          <w:kern w:val="0"/>
          <w:sz w:val="30"/>
          <w:szCs w:val="30"/>
        </w:rPr>
      </w:pP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（三）转出原则</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1.根据上级要求和协议约定,公费师范生不得转专业。</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2.为最大程度尊重学生转专业意愿，学院原则同意符合转出申请条件的学生参加所转入专业组织的考核，若通过转入考核的申请学生数超过该专业转出指标，则以抽签确定转出学生名单，以保证转出学生数不超过原专业的转出计划指标。</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（四）转入考核方案</w:t>
      </w:r>
    </w:p>
    <w:p>
      <w:pPr>
        <w:spacing w:line="360" w:lineRule="auto"/>
        <w:ind w:firstLine="600" w:firstLineChars="200"/>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由各系组织综合面试考核，考核方案详见附件。</w:t>
      </w:r>
    </w:p>
    <w:p>
      <w:pPr>
        <w:spacing w:line="360" w:lineRule="auto"/>
        <w:ind w:firstLine="281" w:firstLineChars="100"/>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四、转专业时间安排</w:t>
      </w:r>
    </w:p>
    <w:tbl>
      <w:tblPr>
        <w:tblStyle w:val="6"/>
        <w:tblpPr w:leftFromText="180" w:rightFromText="180" w:vertAnchor="text" w:horzAnchor="page" w:tblpX="1807" w:tblpY="615"/>
        <w:tblOverlap w:val="never"/>
        <w:tblW w:w="87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66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20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时间</w:t>
            </w:r>
          </w:p>
        </w:tc>
        <w:tc>
          <w:tcPr>
            <w:tcW w:w="66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20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2022年</w:t>
            </w:r>
            <w:r>
              <w:rPr>
                <w:rFonts w:hint="eastAsia" w:ascii="仿宋_GB2312" w:hAnsi="仿宋_GB2312" w:eastAsia="仿宋_GB2312" w:cs="仿宋_GB2312"/>
                <w:color w:val="auto"/>
                <w:sz w:val="30"/>
                <w:szCs w:val="30"/>
                <w:lang w:val="en-US" w:eastAsia="zh-CN"/>
              </w:rPr>
              <w:t>11</w:t>
            </w:r>
            <w:r>
              <w:rPr>
                <w:rFonts w:hint="eastAsia" w:ascii="仿宋_GB2312" w:hAnsi="仿宋_GB2312" w:eastAsia="仿宋_GB2312" w:cs="仿宋_GB2312"/>
                <w:color w:val="auto"/>
                <w:sz w:val="30"/>
                <w:szCs w:val="30"/>
              </w:rPr>
              <w:t>月</w:t>
            </w:r>
            <w:r>
              <w:rPr>
                <w:rFonts w:hint="eastAsia" w:ascii="仿宋_GB2312" w:hAnsi="仿宋_GB2312" w:eastAsia="仿宋_GB2312" w:cs="仿宋_GB2312"/>
                <w:color w:val="auto"/>
                <w:sz w:val="30"/>
                <w:szCs w:val="30"/>
                <w:lang w:val="en-US" w:eastAsia="zh-CN"/>
              </w:rPr>
              <w:t>26</w:t>
            </w:r>
            <w:r>
              <w:rPr>
                <w:rFonts w:hint="eastAsia" w:ascii="仿宋_GB2312" w:hAnsi="仿宋_GB2312" w:eastAsia="仿宋_GB2312" w:cs="仿宋_GB2312"/>
                <w:color w:val="auto"/>
                <w:sz w:val="30"/>
                <w:szCs w:val="30"/>
              </w:rPr>
              <w:t>日前</w:t>
            </w:r>
          </w:p>
        </w:tc>
        <w:tc>
          <w:tcPr>
            <w:tcW w:w="6661" w:type="dxa"/>
            <w:tcBorders>
              <w:top w:val="single" w:color="auto" w:sz="4" w:space="0"/>
              <w:left w:val="single" w:color="auto" w:sz="4" w:space="0"/>
              <w:bottom w:val="single" w:color="auto" w:sz="4" w:space="0"/>
              <w:right w:val="single" w:color="auto" w:sz="4" w:space="0"/>
            </w:tcBorders>
            <w:vAlign w:val="center"/>
          </w:tcPr>
          <w:p>
            <w:pPr>
              <w:spacing w:line="360" w:lineRule="auto"/>
              <w:ind w:firstLine="450" w:firstLineChars="15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将转专业方案签字盖章报教务处审核通过后在本学院网站上公布。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20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2022年</w:t>
            </w:r>
            <w:r>
              <w:rPr>
                <w:rFonts w:hint="eastAsia" w:ascii="仿宋_GB2312" w:hAnsi="仿宋_GB2312" w:eastAsia="仿宋_GB2312" w:cs="仿宋_GB2312"/>
                <w:color w:val="auto"/>
                <w:sz w:val="30"/>
                <w:szCs w:val="30"/>
                <w:lang w:val="en-US" w:eastAsia="zh-CN"/>
              </w:rPr>
              <w:t>12</w:t>
            </w:r>
            <w:r>
              <w:rPr>
                <w:rFonts w:hint="eastAsia" w:ascii="仿宋_GB2312" w:hAnsi="仿宋_GB2312" w:eastAsia="仿宋_GB2312" w:cs="仿宋_GB2312"/>
                <w:color w:val="auto"/>
                <w:sz w:val="30"/>
                <w:szCs w:val="30"/>
              </w:rPr>
              <w:t>月</w:t>
            </w: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日前</w:t>
            </w:r>
          </w:p>
        </w:tc>
        <w:tc>
          <w:tcPr>
            <w:tcW w:w="6661" w:type="dxa"/>
            <w:tcBorders>
              <w:top w:val="single" w:color="auto" w:sz="4" w:space="0"/>
              <w:left w:val="single" w:color="auto" w:sz="4" w:space="0"/>
              <w:bottom w:val="single" w:color="auto" w:sz="4" w:space="0"/>
              <w:right w:val="single" w:color="auto" w:sz="4" w:space="0"/>
            </w:tcBorders>
            <w:vAlign w:val="center"/>
          </w:tcPr>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kern w:val="0"/>
                <w:sz w:val="30"/>
                <w:szCs w:val="30"/>
              </w:rPr>
              <w:t>1.各学院组织申请转专业的学生填写《三明学院学生转专业申请表》（附件1），审核学生转出资格，</w:t>
            </w:r>
            <w:r>
              <w:rPr>
                <w:rFonts w:hint="eastAsia" w:ascii="仿宋_GB2312" w:hAnsi="仿宋_GB2312" w:eastAsia="仿宋_GB2312" w:cs="仿宋_GB2312"/>
                <w:b/>
                <w:bCs/>
                <w:color w:val="auto"/>
                <w:kern w:val="0"/>
                <w:sz w:val="30"/>
                <w:szCs w:val="30"/>
              </w:rPr>
              <w:t>并在本学院网站对拟同意转出学生名单进行公示</w:t>
            </w:r>
            <w:r>
              <w:rPr>
                <w:rFonts w:hint="eastAsia" w:ascii="仿宋_GB2312" w:hAnsi="仿宋_GB2312" w:eastAsia="仿宋_GB2312" w:cs="仿宋_GB2312"/>
                <w:color w:val="auto"/>
                <w:kern w:val="0"/>
                <w:sz w:val="30"/>
                <w:szCs w:val="30"/>
              </w:rPr>
              <w:t>。</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kern w:val="0"/>
                <w:sz w:val="30"/>
                <w:szCs w:val="30"/>
              </w:rPr>
              <w:t>2.各学院将《三明学院学生转专业申请表》（附件1）、《申请转出学生汇总表》（附件2）、《拟转出学生汇总表》（附件3）报教务处。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20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rPr>
              <w:t>2022年</w:t>
            </w:r>
            <w:r>
              <w:rPr>
                <w:rFonts w:hint="eastAsia" w:ascii="仿宋_GB2312" w:hAnsi="仿宋_GB2312" w:eastAsia="仿宋_GB2312" w:cs="仿宋_GB2312"/>
                <w:color w:val="auto"/>
                <w:sz w:val="30"/>
                <w:szCs w:val="30"/>
                <w:lang w:val="en-US" w:eastAsia="zh-CN"/>
              </w:rPr>
              <w:t>12</w:t>
            </w:r>
            <w:r>
              <w:rPr>
                <w:rFonts w:hint="eastAsia" w:ascii="仿宋_GB2312" w:hAnsi="仿宋_GB2312" w:eastAsia="仿宋_GB2312" w:cs="仿宋_GB2312"/>
                <w:color w:val="auto"/>
                <w:sz w:val="30"/>
                <w:szCs w:val="30"/>
              </w:rPr>
              <w:t>月</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sz w:val="30"/>
                <w:szCs w:val="30"/>
              </w:rPr>
              <w:t>1日</w:t>
            </w:r>
            <w:r>
              <w:rPr>
                <w:rFonts w:hint="eastAsia" w:ascii="仿宋_GB2312" w:hAnsi="仿宋_GB2312" w:eastAsia="仿宋_GB2312" w:cs="仿宋_GB2312"/>
                <w:color w:val="auto"/>
                <w:sz w:val="30"/>
                <w:szCs w:val="30"/>
                <w:lang w:eastAsia="zh-CN"/>
              </w:rPr>
              <w:t>前</w:t>
            </w:r>
          </w:p>
        </w:tc>
        <w:tc>
          <w:tcPr>
            <w:tcW w:w="6661" w:type="dxa"/>
            <w:tcBorders>
              <w:top w:val="single" w:color="auto" w:sz="4" w:space="0"/>
              <w:left w:val="single" w:color="auto" w:sz="4" w:space="0"/>
              <w:bottom w:val="single" w:color="auto" w:sz="4" w:space="0"/>
              <w:right w:val="single" w:color="auto" w:sz="4" w:space="0"/>
            </w:tcBorders>
            <w:vAlign w:val="center"/>
          </w:tcPr>
          <w:p>
            <w:pPr>
              <w:spacing w:line="360" w:lineRule="auto"/>
              <w:ind w:firstLine="600" w:firstLineChars="200"/>
              <w:jc w:val="left"/>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kern w:val="0"/>
                <w:sz w:val="30"/>
                <w:szCs w:val="30"/>
              </w:rPr>
              <w:t>教务处对学院上报的拟转出学生名单进行复核，将符合条件的学生名单及相关材料转交各接收学院。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5" w:hRule="atLeast"/>
        </w:trPr>
        <w:tc>
          <w:tcPr>
            <w:tcW w:w="20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2022年</w:t>
            </w:r>
            <w:r>
              <w:rPr>
                <w:rFonts w:hint="eastAsia" w:ascii="仿宋_GB2312" w:hAnsi="仿宋_GB2312" w:eastAsia="仿宋_GB2312" w:cs="仿宋_GB2312"/>
                <w:color w:val="auto"/>
                <w:sz w:val="30"/>
                <w:szCs w:val="30"/>
                <w:lang w:val="en-US" w:eastAsia="zh-CN"/>
              </w:rPr>
              <w:t>12</w:t>
            </w:r>
            <w:r>
              <w:rPr>
                <w:rFonts w:hint="eastAsia" w:ascii="仿宋_GB2312" w:hAnsi="仿宋_GB2312" w:eastAsia="仿宋_GB2312" w:cs="仿宋_GB2312"/>
                <w:color w:val="auto"/>
                <w:sz w:val="30"/>
                <w:szCs w:val="30"/>
              </w:rPr>
              <w:t>月</w:t>
            </w:r>
            <w:r>
              <w:rPr>
                <w:rFonts w:hint="eastAsia" w:ascii="仿宋_GB2312" w:hAnsi="仿宋_GB2312" w:eastAsia="仿宋_GB2312" w:cs="仿宋_GB2312"/>
                <w:color w:val="auto"/>
                <w:sz w:val="30"/>
                <w:szCs w:val="30"/>
                <w:lang w:val="en-US" w:eastAsia="zh-CN"/>
              </w:rPr>
              <w:t>14</w:t>
            </w:r>
            <w:r>
              <w:rPr>
                <w:rFonts w:hint="eastAsia" w:ascii="仿宋_GB2312" w:hAnsi="仿宋_GB2312" w:eastAsia="仿宋_GB2312" w:cs="仿宋_GB2312"/>
                <w:color w:val="auto"/>
                <w:sz w:val="30"/>
                <w:szCs w:val="30"/>
              </w:rPr>
              <w:t>日</w:t>
            </w:r>
          </w:p>
        </w:tc>
        <w:tc>
          <w:tcPr>
            <w:tcW w:w="6661" w:type="dxa"/>
            <w:tcBorders>
              <w:top w:val="single" w:color="auto" w:sz="4" w:space="0"/>
              <w:left w:val="single" w:color="auto" w:sz="4" w:space="0"/>
              <w:bottom w:val="single" w:color="auto" w:sz="4" w:space="0"/>
              <w:right w:val="single" w:color="auto" w:sz="4" w:space="0"/>
            </w:tcBorders>
            <w:vAlign w:val="center"/>
          </w:tcPr>
          <w:p>
            <w:pPr>
              <w:tabs>
                <w:tab w:val="left" w:pos="312"/>
              </w:tabs>
              <w:spacing w:line="360" w:lineRule="auto"/>
              <w:ind w:firstLine="600"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组织接收转专业笔试和面试，确定拟接收学生名单，并在本学院网站对拟接收学生名单进行公示(含考核成绩及排名)。</w:t>
            </w:r>
          </w:p>
          <w:p>
            <w:pPr>
              <w:tabs>
                <w:tab w:val="left" w:pos="312"/>
              </w:tabs>
              <w:spacing w:line="360" w:lineRule="auto"/>
              <w:ind w:left="482"/>
              <w:jc w:val="left"/>
              <w:rPr>
                <w:rFonts w:hint="eastAsia" w:ascii="仿宋_GB2312" w:hAnsi="仿宋_GB2312" w:eastAsia="仿宋_GB2312" w:cs="仿宋_GB2312"/>
                <w:b/>
                <w:bCs/>
                <w:color w:val="auto"/>
                <w:sz w:val="30"/>
                <w:szCs w:val="30"/>
                <w:lang w:eastAsia="zh-CN"/>
              </w:rPr>
            </w:pPr>
            <w:r>
              <w:rPr>
                <w:rFonts w:hint="eastAsia" w:ascii="仿宋_GB2312" w:hAnsi="仿宋_GB2312" w:eastAsia="仿宋_GB2312" w:cs="仿宋_GB2312"/>
                <w:b/>
                <w:bCs/>
                <w:color w:val="auto"/>
                <w:sz w:val="30"/>
                <w:szCs w:val="30"/>
                <w:lang w:eastAsia="zh-CN"/>
              </w:rPr>
              <w:t>小学教育</w:t>
            </w:r>
          </w:p>
          <w:p>
            <w:pPr>
              <w:spacing w:line="360" w:lineRule="auto"/>
              <w:ind w:left="480"/>
              <w:jc w:val="left"/>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rPr>
              <w:t>面试时间：2022年</w:t>
            </w:r>
            <w:r>
              <w:rPr>
                <w:rFonts w:hint="eastAsia" w:ascii="仿宋_GB2312" w:hAnsi="仿宋_GB2312" w:eastAsia="仿宋_GB2312" w:cs="仿宋_GB2312"/>
                <w:color w:val="auto"/>
                <w:sz w:val="30"/>
                <w:szCs w:val="30"/>
                <w:lang w:val="en-US" w:eastAsia="zh-CN"/>
              </w:rPr>
              <w:t>12</w:t>
            </w:r>
            <w:r>
              <w:rPr>
                <w:rFonts w:hint="eastAsia" w:ascii="仿宋_GB2312" w:hAnsi="仿宋_GB2312" w:eastAsia="仿宋_GB2312" w:cs="仿宋_GB2312"/>
                <w:color w:val="auto"/>
                <w:sz w:val="30"/>
                <w:szCs w:val="30"/>
              </w:rPr>
              <w:t>月</w:t>
            </w:r>
            <w:r>
              <w:rPr>
                <w:rFonts w:hint="eastAsia" w:ascii="仿宋_GB2312" w:hAnsi="仿宋_GB2312" w:eastAsia="仿宋_GB2312" w:cs="仿宋_GB2312"/>
                <w:color w:val="auto"/>
                <w:sz w:val="30"/>
                <w:szCs w:val="30"/>
                <w:lang w:val="en-US" w:eastAsia="zh-CN"/>
              </w:rPr>
              <w:t>14</w:t>
            </w:r>
            <w:r>
              <w:rPr>
                <w:rFonts w:hint="eastAsia" w:ascii="仿宋_GB2312" w:hAnsi="仿宋_GB2312" w:eastAsia="仿宋_GB2312" w:cs="仿宋_GB2312"/>
                <w:color w:val="auto"/>
                <w:sz w:val="30"/>
                <w:szCs w:val="30"/>
              </w:rPr>
              <w:t>日下午1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val="en-US" w:eastAsia="zh-CN"/>
              </w:rPr>
              <w:t>40</w:t>
            </w:r>
          </w:p>
          <w:p>
            <w:pPr>
              <w:spacing w:line="360" w:lineRule="auto"/>
              <w:ind w:firstLine="600"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地点：理工一318</w:t>
            </w:r>
          </w:p>
          <w:p>
            <w:pPr>
              <w:tabs>
                <w:tab w:val="left" w:pos="312"/>
              </w:tabs>
              <w:spacing w:line="360" w:lineRule="auto"/>
              <w:ind w:firstLine="602" w:firstLineChars="200"/>
              <w:jc w:val="left"/>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学前教育</w:t>
            </w:r>
          </w:p>
          <w:p>
            <w:pPr>
              <w:spacing w:line="360" w:lineRule="auto"/>
              <w:ind w:left="480"/>
              <w:jc w:val="left"/>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rPr>
              <w:t>面试时间：2022年</w:t>
            </w:r>
            <w:r>
              <w:rPr>
                <w:rFonts w:hint="eastAsia" w:ascii="仿宋_GB2312" w:hAnsi="仿宋_GB2312" w:eastAsia="仿宋_GB2312" w:cs="仿宋_GB2312"/>
                <w:color w:val="auto"/>
                <w:sz w:val="30"/>
                <w:szCs w:val="30"/>
                <w:lang w:val="en-US" w:eastAsia="zh-CN"/>
              </w:rPr>
              <w:t>12</w:t>
            </w:r>
            <w:r>
              <w:rPr>
                <w:rFonts w:hint="eastAsia" w:ascii="仿宋_GB2312" w:hAnsi="仿宋_GB2312" w:eastAsia="仿宋_GB2312" w:cs="仿宋_GB2312"/>
                <w:color w:val="auto"/>
                <w:sz w:val="30"/>
                <w:szCs w:val="30"/>
              </w:rPr>
              <w:t>月</w:t>
            </w:r>
            <w:r>
              <w:rPr>
                <w:rFonts w:hint="eastAsia" w:ascii="仿宋_GB2312" w:hAnsi="仿宋_GB2312" w:eastAsia="仿宋_GB2312" w:cs="仿宋_GB2312"/>
                <w:color w:val="auto"/>
                <w:sz w:val="30"/>
                <w:szCs w:val="30"/>
                <w:lang w:val="en-US" w:eastAsia="zh-CN"/>
              </w:rPr>
              <w:t>14</w:t>
            </w:r>
            <w:r>
              <w:rPr>
                <w:rFonts w:hint="eastAsia" w:ascii="仿宋_GB2312" w:hAnsi="仿宋_GB2312" w:eastAsia="仿宋_GB2312" w:cs="仿宋_GB2312"/>
                <w:color w:val="auto"/>
                <w:sz w:val="30"/>
                <w:szCs w:val="30"/>
              </w:rPr>
              <w:t>日下午1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val="en-US" w:eastAsia="zh-CN"/>
              </w:rPr>
              <w:t>40</w:t>
            </w:r>
          </w:p>
          <w:p>
            <w:pPr>
              <w:spacing w:line="360" w:lineRule="auto"/>
              <w:ind w:firstLine="600"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地点：理工一</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18</w:t>
            </w:r>
          </w:p>
          <w:p>
            <w:pPr>
              <w:spacing w:line="360" w:lineRule="auto"/>
              <w:ind w:firstLine="602" w:firstLineChars="200"/>
              <w:jc w:val="left"/>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音乐学</w:t>
            </w:r>
          </w:p>
          <w:p>
            <w:pPr>
              <w:spacing w:line="360" w:lineRule="auto"/>
              <w:ind w:left="48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面试时间：2022年</w:t>
            </w:r>
            <w:r>
              <w:rPr>
                <w:rFonts w:hint="eastAsia" w:ascii="仿宋_GB2312" w:hAnsi="仿宋_GB2312" w:eastAsia="仿宋_GB2312" w:cs="仿宋_GB2312"/>
                <w:color w:val="auto"/>
                <w:sz w:val="30"/>
                <w:szCs w:val="30"/>
                <w:lang w:val="en-US" w:eastAsia="zh-CN"/>
              </w:rPr>
              <w:t>12</w:t>
            </w:r>
            <w:r>
              <w:rPr>
                <w:rFonts w:hint="eastAsia" w:ascii="仿宋_GB2312" w:hAnsi="仿宋_GB2312" w:eastAsia="仿宋_GB2312" w:cs="仿宋_GB2312"/>
                <w:color w:val="auto"/>
                <w:sz w:val="30"/>
                <w:szCs w:val="30"/>
              </w:rPr>
              <w:t>月1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日下午1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val="en-US" w:eastAsia="zh-CN"/>
              </w:rPr>
              <w:t>40</w:t>
            </w:r>
          </w:p>
          <w:p>
            <w:pPr>
              <w:spacing w:line="360" w:lineRule="auto"/>
              <w:ind w:firstLine="600" w:firstLineChars="200"/>
              <w:jc w:val="left"/>
              <w:rPr>
                <w:rFonts w:hint="eastAsia" w:ascii="仿宋_GB2312" w:hAnsi="仿宋_GB2312" w:eastAsia="仿宋_GB2312" w:cs="仿宋_GB2312"/>
                <w:b/>
                <w:bCs/>
                <w:color w:val="auto"/>
                <w:sz w:val="30"/>
                <w:szCs w:val="30"/>
              </w:rPr>
            </w:pPr>
            <w:r>
              <w:rPr>
                <w:rFonts w:hint="eastAsia" w:ascii="仿宋_GB2312" w:hAnsi="仿宋_GB2312" w:eastAsia="仿宋_GB2312" w:cs="仿宋_GB2312"/>
                <w:color w:val="auto"/>
                <w:sz w:val="30"/>
                <w:szCs w:val="30"/>
              </w:rPr>
              <w:t>地点：艺术大楼小演艺厅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3" w:hRule="atLeast"/>
        </w:trPr>
        <w:tc>
          <w:tcPr>
            <w:tcW w:w="20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2022年</w:t>
            </w:r>
            <w:r>
              <w:rPr>
                <w:rFonts w:hint="eastAsia" w:ascii="仿宋_GB2312" w:hAnsi="仿宋_GB2312" w:eastAsia="仿宋_GB2312" w:cs="仿宋_GB2312"/>
                <w:color w:val="auto"/>
                <w:sz w:val="30"/>
                <w:szCs w:val="30"/>
                <w:lang w:val="en-US" w:eastAsia="zh-CN"/>
              </w:rPr>
              <w:t>12</w:t>
            </w:r>
            <w:r>
              <w:rPr>
                <w:rFonts w:hint="eastAsia" w:ascii="仿宋_GB2312" w:hAnsi="仿宋_GB2312" w:eastAsia="仿宋_GB2312" w:cs="仿宋_GB2312"/>
                <w:color w:val="auto"/>
                <w:sz w:val="30"/>
                <w:szCs w:val="30"/>
              </w:rPr>
              <w:t>月</w:t>
            </w:r>
            <w:r>
              <w:rPr>
                <w:rFonts w:hint="eastAsia" w:ascii="仿宋_GB2312" w:hAnsi="仿宋_GB2312" w:eastAsia="仿宋_GB2312" w:cs="仿宋_GB2312"/>
                <w:color w:val="auto"/>
                <w:sz w:val="30"/>
                <w:szCs w:val="30"/>
                <w:lang w:val="en-US" w:eastAsia="zh-CN"/>
              </w:rPr>
              <w:t>22</w:t>
            </w:r>
            <w:r>
              <w:rPr>
                <w:rFonts w:hint="eastAsia" w:ascii="仿宋_GB2312" w:hAnsi="仿宋_GB2312" w:eastAsia="仿宋_GB2312" w:cs="仿宋_GB2312"/>
                <w:color w:val="auto"/>
                <w:sz w:val="30"/>
                <w:szCs w:val="30"/>
              </w:rPr>
              <w:t>日前</w:t>
            </w:r>
          </w:p>
        </w:tc>
        <w:tc>
          <w:tcPr>
            <w:tcW w:w="6661" w:type="dxa"/>
            <w:tcBorders>
              <w:top w:val="single" w:color="auto" w:sz="4" w:space="0"/>
              <w:left w:val="single" w:color="auto" w:sz="4" w:space="0"/>
              <w:bottom w:val="single" w:color="auto" w:sz="4" w:space="0"/>
              <w:right w:val="single" w:color="auto" w:sz="4" w:space="0"/>
            </w:tcBorders>
            <w:vAlign w:val="center"/>
          </w:tcPr>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kern w:val="0"/>
                <w:sz w:val="30"/>
                <w:szCs w:val="30"/>
              </w:rPr>
              <w:t>1.</w:t>
            </w:r>
            <w:r>
              <w:rPr>
                <w:rFonts w:hint="eastAsia" w:ascii="仿宋_GB2312" w:hAnsi="仿宋_GB2312" w:eastAsia="仿宋_GB2312" w:cs="仿宋_GB2312"/>
                <w:color w:val="auto"/>
                <w:sz w:val="30"/>
                <w:szCs w:val="30"/>
              </w:rPr>
              <w:t>接收学院</w:t>
            </w:r>
            <w:r>
              <w:rPr>
                <w:rFonts w:hint="eastAsia" w:ascii="仿宋_GB2312" w:hAnsi="仿宋_GB2312" w:eastAsia="仿宋_GB2312" w:cs="仿宋_GB2312"/>
                <w:color w:val="auto"/>
                <w:kern w:val="0"/>
                <w:sz w:val="30"/>
                <w:szCs w:val="30"/>
              </w:rPr>
              <w:t>将《三明学院学生转专业申请表》（附件1）和《拟转入学生汇总表》（附件4）</w:t>
            </w:r>
            <w:r>
              <w:rPr>
                <w:rFonts w:hint="eastAsia" w:ascii="仿宋_GB2312" w:hAnsi="仿宋_GB2312" w:eastAsia="仿宋_GB2312" w:cs="仿宋_GB2312"/>
                <w:bCs/>
                <w:color w:val="auto"/>
                <w:kern w:val="0"/>
                <w:sz w:val="30"/>
                <w:szCs w:val="30"/>
              </w:rPr>
              <w:t>上</w:t>
            </w:r>
            <w:r>
              <w:rPr>
                <w:rFonts w:hint="eastAsia" w:ascii="仿宋_GB2312" w:hAnsi="仿宋_GB2312" w:eastAsia="仿宋_GB2312" w:cs="仿宋_GB2312"/>
                <w:color w:val="auto"/>
                <w:kern w:val="0"/>
                <w:sz w:val="30"/>
                <w:szCs w:val="30"/>
              </w:rPr>
              <w:t>报教务处。</w:t>
            </w:r>
            <w:r>
              <w:rPr>
                <w:rFonts w:hint="eastAsia" w:ascii="仿宋_GB2312" w:hAnsi="仿宋_GB2312" w:eastAsia="仿宋_GB2312" w:cs="仿宋_GB2312"/>
                <w:color w:val="auto"/>
                <w:sz w:val="30"/>
                <w:szCs w:val="30"/>
              </w:rPr>
              <w:t xml:space="preserve"> </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2.各学院将转专业考核过程材料按规定归档，</w:t>
            </w:r>
            <w:r>
              <w:rPr>
                <w:rFonts w:hint="eastAsia" w:ascii="仿宋_GB2312" w:hAnsi="仿宋_GB2312" w:eastAsia="仿宋_GB2312" w:cs="仿宋_GB2312"/>
                <w:b/>
                <w:bCs/>
                <w:color w:val="auto"/>
                <w:kern w:val="0"/>
                <w:sz w:val="30"/>
                <w:szCs w:val="30"/>
              </w:rPr>
              <w:t>教务处对各学院网上公布的转专业方案、拟转出、拟转入学生名单公示情况进行随机抽查。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trPr>
        <w:tc>
          <w:tcPr>
            <w:tcW w:w="20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本学期期末放假前</w:t>
            </w:r>
          </w:p>
        </w:tc>
        <w:tc>
          <w:tcPr>
            <w:tcW w:w="6661" w:type="dxa"/>
            <w:tcBorders>
              <w:top w:val="single" w:color="auto" w:sz="4" w:space="0"/>
              <w:left w:val="single" w:color="auto" w:sz="4" w:space="0"/>
              <w:bottom w:val="single" w:color="auto" w:sz="4" w:space="0"/>
              <w:right w:val="single" w:color="auto" w:sz="4" w:space="0"/>
            </w:tcBorders>
            <w:vAlign w:val="center"/>
          </w:tcPr>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kern w:val="0"/>
                <w:sz w:val="30"/>
                <w:szCs w:val="30"/>
              </w:rPr>
              <w:t>教务处将各学院拟转入学生名单报校长办公会审议后，在学校网站进行公示，发文。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208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下学期开学初</w:t>
            </w:r>
          </w:p>
        </w:tc>
        <w:tc>
          <w:tcPr>
            <w:tcW w:w="6661" w:type="dxa"/>
            <w:tcBorders>
              <w:top w:val="single" w:color="auto" w:sz="4" w:space="0"/>
              <w:left w:val="single" w:color="auto" w:sz="4" w:space="0"/>
              <w:bottom w:val="single" w:color="auto" w:sz="4" w:space="0"/>
              <w:right w:val="single" w:color="auto" w:sz="4" w:space="0"/>
            </w:tcBorders>
            <w:vAlign w:val="center"/>
          </w:tcPr>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kern w:val="0"/>
                <w:sz w:val="30"/>
                <w:szCs w:val="30"/>
              </w:rPr>
              <w:t>获批转专业学生到新专业报到、学习。</w:t>
            </w:r>
          </w:p>
        </w:tc>
      </w:tr>
    </w:tbl>
    <w:p>
      <w:pPr>
        <w:spacing w:line="360" w:lineRule="auto"/>
        <w:ind w:firstLine="560" w:firstLineChars="200"/>
        <w:rPr>
          <w:rFonts w:hint="eastAsia" w:ascii="仿宋_GB2312" w:hAnsi="仿宋_GB2312" w:eastAsia="仿宋_GB2312" w:cs="仿宋_GB2312"/>
          <w:color w:val="auto"/>
          <w:kern w:val="0"/>
          <w:sz w:val="28"/>
          <w:szCs w:val="28"/>
        </w:rPr>
      </w:pPr>
    </w:p>
    <w:p>
      <w:pPr>
        <w:spacing w:line="360" w:lineRule="auto"/>
        <w:ind w:left="5495" w:leftChars="1950" w:hanging="1400" w:hangingChars="5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kern w:val="0"/>
          <w:sz w:val="28"/>
          <w:szCs w:val="28"/>
        </w:rPr>
        <w:t xml:space="preserve">                                         </w:t>
      </w:r>
      <w:r>
        <w:rPr>
          <w:rFonts w:hint="eastAsia" w:ascii="仿宋_GB2312" w:hAnsi="仿宋_GB2312" w:eastAsia="仿宋_GB2312" w:cs="仿宋_GB2312"/>
          <w:color w:val="auto"/>
          <w:kern w:val="0"/>
          <w:sz w:val="30"/>
          <w:szCs w:val="30"/>
        </w:rPr>
        <w:t>教育与音乐学院</w:t>
      </w:r>
    </w:p>
    <w:p>
      <w:pPr>
        <w:spacing w:line="360" w:lineRule="auto"/>
        <w:ind w:firstLine="5100" w:firstLineChars="17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 xml:space="preserve"> 2022年</w:t>
      </w:r>
      <w:r>
        <w:rPr>
          <w:rFonts w:hint="eastAsia" w:ascii="仿宋_GB2312" w:hAnsi="仿宋_GB2312" w:eastAsia="仿宋_GB2312" w:cs="仿宋_GB2312"/>
          <w:color w:val="auto"/>
          <w:sz w:val="30"/>
          <w:szCs w:val="30"/>
          <w:lang w:val="en-US" w:eastAsia="zh-CN"/>
        </w:rPr>
        <w:t>11</w:t>
      </w:r>
      <w:r>
        <w:rPr>
          <w:rFonts w:hint="eastAsia" w:ascii="仿宋_GB2312" w:hAnsi="仿宋_GB2312" w:eastAsia="仿宋_GB2312" w:cs="仿宋_GB2312"/>
          <w:color w:val="auto"/>
          <w:sz w:val="30"/>
          <w:szCs w:val="30"/>
        </w:rPr>
        <w:t>月</w:t>
      </w:r>
      <w:r>
        <w:rPr>
          <w:rFonts w:hint="eastAsia" w:ascii="仿宋_GB2312" w:hAnsi="仿宋_GB2312" w:eastAsia="仿宋_GB2312" w:cs="仿宋_GB2312"/>
          <w:color w:val="auto"/>
          <w:sz w:val="30"/>
          <w:szCs w:val="30"/>
          <w:lang w:val="en-US" w:eastAsia="zh-CN"/>
        </w:rPr>
        <w:t>28</w:t>
      </w:r>
      <w:r>
        <w:rPr>
          <w:rFonts w:hint="eastAsia" w:ascii="仿宋_GB2312" w:hAnsi="仿宋_GB2312" w:eastAsia="仿宋_GB2312" w:cs="仿宋_GB2312"/>
          <w:color w:val="auto"/>
          <w:sz w:val="30"/>
          <w:szCs w:val="30"/>
        </w:rPr>
        <w:t>日</w:t>
      </w:r>
    </w:p>
    <w:p>
      <w:pPr>
        <w:spacing w:line="360" w:lineRule="auto"/>
        <w:ind w:firstLine="560" w:firstLineChars="200"/>
        <w:rPr>
          <w:rFonts w:hint="eastAsia" w:ascii="仿宋_GB2312" w:hAnsi="仿宋_GB2312" w:eastAsia="仿宋_GB2312" w:cs="仿宋_GB2312"/>
          <w:color w:val="auto"/>
          <w:kern w:val="0"/>
          <w:sz w:val="28"/>
          <w:szCs w:val="28"/>
        </w:rPr>
      </w:pPr>
    </w:p>
    <w:p>
      <w:pPr>
        <w:spacing w:line="360" w:lineRule="auto"/>
        <w:jc w:val="left"/>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附件</w:t>
      </w:r>
      <w:r>
        <w:rPr>
          <w:rFonts w:hint="eastAsia" w:ascii="仿宋_GB2312" w:hAnsi="仿宋_GB2312" w:eastAsia="仿宋_GB2312" w:cs="仿宋_GB2312"/>
          <w:b/>
          <w:color w:val="auto"/>
          <w:sz w:val="30"/>
          <w:szCs w:val="30"/>
          <w:lang w:val="en-US" w:eastAsia="zh-CN"/>
        </w:rPr>
        <w:t>1</w:t>
      </w:r>
      <w:r>
        <w:rPr>
          <w:rFonts w:hint="eastAsia" w:ascii="仿宋_GB2312" w:hAnsi="仿宋_GB2312" w:eastAsia="仿宋_GB2312" w:cs="仿宋_GB2312"/>
          <w:b/>
          <w:color w:val="auto"/>
          <w:sz w:val="30"/>
          <w:szCs w:val="30"/>
        </w:rPr>
        <w:t>：</w:t>
      </w:r>
    </w:p>
    <w:p>
      <w:pPr>
        <w:spacing w:line="360" w:lineRule="auto"/>
        <w:jc w:val="center"/>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学前教育转专业（转入）考核方案</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为进一步做好教育与音乐学院202</w:t>
      </w:r>
      <w:r>
        <w:rPr>
          <w:rFonts w:hint="eastAsia" w:ascii="仿宋_GB2312" w:hAnsi="仿宋_GB2312" w:eastAsia="仿宋_GB2312" w:cs="仿宋_GB2312"/>
          <w:color w:val="auto"/>
          <w:sz w:val="30"/>
          <w:szCs w:val="30"/>
          <w:lang w:val="en-US" w:eastAsia="zh-CN"/>
        </w:rPr>
        <w:t>2</w:t>
      </w:r>
      <w:r>
        <w:rPr>
          <w:rFonts w:hint="eastAsia" w:ascii="仿宋_GB2312" w:hAnsi="仿宋_GB2312" w:eastAsia="仿宋_GB2312" w:cs="仿宋_GB2312"/>
          <w:color w:val="auto"/>
          <w:sz w:val="30"/>
          <w:szCs w:val="30"/>
        </w:rPr>
        <w:t>-202</w:t>
      </w: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color w:val="auto"/>
          <w:sz w:val="30"/>
          <w:szCs w:val="30"/>
        </w:rPr>
        <w:t>第</w:t>
      </w:r>
      <w:r>
        <w:rPr>
          <w:rFonts w:hint="eastAsia" w:ascii="仿宋_GB2312" w:hAnsi="仿宋_GB2312" w:eastAsia="仿宋_GB2312" w:cs="仿宋_GB2312"/>
          <w:color w:val="auto"/>
          <w:sz w:val="30"/>
          <w:szCs w:val="30"/>
          <w:lang w:eastAsia="zh-CN"/>
        </w:rPr>
        <w:t>一</w:t>
      </w:r>
      <w:r>
        <w:rPr>
          <w:rFonts w:hint="eastAsia" w:ascii="仿宋_GB2312" w:hAnsi="仿宋_GB2312" w:eastAsia="仿宋_GB2312" w:cs="仿宋_GB2312"/>
          <w:color w:val="auto"/>
          <w:sz w:val="30"/>
          <w:szCs w:val="30"/>
        </w:rPr>
        <w:t>学期学生转专业的考核工作，根据《三明学院转专业管理办法（修订）》，结合学前教育专业特点及培养方案要求，特制定本考核方案。</w:t>
      </w:r>
    </w:p>
    <w:p>
      <w:pPr>
        <w:spacing w:line="360" w:lineRule="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一、考核原则</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kern w:val="0"/>
          <w:sz w:val="30"/>
          <w:szCs w:val="30"/>
        </w:rPr>
        <w:t>入学已满一学期且处于非毕业学年的学生</w:t>
      </w:r>
      <w:r>
        <w:rPr>
          <w:rFonts w:hint="eastAsia" w:ascii="仿宋_GB2312" w:hAnsi="仿宋_GB2312" w:eastAsia="仿宋_GB2312" w:cs="仿宋_GB2312"/>
          <w:color w:val="auto"/>
          <w:sz w:val="30"/>
          <w:szCs w:val="30"/>
        </w:rPr>
        <w:t>申请转入学前教育专业，必须参加由教育与音乐学院统一组织的转专业考核。考核旨在考察学生适应学前教育专业的基本素质与能力，经考核合格的学生才有资格转入。</w:t>
      </w:r>
    </w:p>
    <w:p>
      <w:pPr>
        <w:spacing w:line="360" w:lineRule="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二、考核对象</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申请转入学前教育专业，符合转专业规定条件且通过学校资格审查的在校普通全日制本科学生。</w:t>
      </w:r>
    </w:p>
    <w:p>
      <w:pPr>
        <w:spacing w:line="360" w:lineRule="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三、考核形式</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 审核材料：转专业申请表、辅导员的推荐意见（含学生在读期间所有考试的学业成绩、获奖情况、担任学生干部情况）。</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 面   试：</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（1）对学前教育专业及幼儿教师的认识（20分）</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（2）自备歌曲一首（20分）</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（3）自备1分钟简单舞蹈动作（20分）</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（4）主题简笔画（现场作画，规定时间内完成）（20分）</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（5）现场提问（20分）</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ab/>
      </w:r>
      <w:r>
        <w:rPr>
          <w:rFonts w:hint="eastAsia" w:ascii="仿宋_GB2312" w:hAnsi="仿宋_GB2312" w:eastAsia="仿宋_GB2312" w:cs="仿宋_GB2312"/>
          <w:color w:val="auto"/>
          <w:sz w:val="30"/>
          <w:szCs w:val="30"/>
        </w:rPr>
        <w:t>3. 辅助心理测评</w:t>
      </w:r>
    </w:p>
    <w:p>
      <w:pPr>
        <w:spacing w:line="360" w:lineRule="auto"/>
        <w:rPr>
          <w:rFonts w:hint="eastAsia" w:ascii="仿宋_GB2312" w:hAnsi="仿宋_GB2312" w:eastAsia="仿宋_GB2312" w:cs="仿宋_GB2312"/>
          <w:b/>
          <w:color w:val="auto"/>
          <w:sz w:val="30"/>
          <w:szCs w:val="30"/>
        </w:rPr>
      </w:pPr>
    </w:p>
    <w:p>
      <w:pPr>
        <w:spacing w:line="360" w:lineRule="auto"/>
        <w:ind w:firstLine="602" w:firstLineChars="200"/>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四、考核具体安排</w:t>
      </w:r>
    </w:p>
    <w:p>
      <w:pPr>
        <w:spacing w:line="360" w:lineRule="auto"/>
        <w:ind w:firstLine="600" w:firstLineChars="20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1.时间、地点：2022年</w:t>
      </w:r>
      <w:r>
        <w:rPr>
          <w:rFonts w:hint="eastAsia" w:ascii="仿宋_GB2312" w:hAnsi="仿宋_GB2312" w:eastAsia="仿宋_GB2312" w:cs="仿宋_GB2312"/>
          <w:color w:val="auto"/>
          <w:sz w:val="30"/>
          <w:szCs w:val="30"/>
          <w:lang w:val="en-US" w:eastAsia="zh-CN"/>
        </w:rPr>
        <w:t>12</w:t>
      </w:r>
      <w:r>
        <w:rPr>
          <w:rFonts w:hint="eastAsia" w:ascii="仿宋_GB2312" w:hAnsi="仿宋_GB2312" w:eastAsia="仿宋_GB2312" w:cs="仿宋_GB2312"/>
          <w:color w:val="auto"/>
          <w:sz w:val="30"/>
          <w:szCs w:val="30"/>
        </w:rPr>
        <w:t>月</w:t>
      </w:r>
      <w:r>
        <w:rPr>
          <w:rFonts w:hint="eastAsia" w:ascii="仿宋_GB2312" w:hAnsi="仿宋_GB2312" w:eastAsia="仿宋_GB2312" w:cs="仿宋_GB2312"/>
          <w:color w:val="auto"/>
          <w:sz w:val="30"/>
          <w:szCs w:val="30"/>
          <w:lang w:val="en-US" w:eastAsia="zh-CN"/>
        </w:rPr>
        <w:t>14</w:t>
      </w:r>
      <w:r>
        <w:rPr>
          <w:rFonts w:hint="eastAsia" w:ascii="仿宋_GB2312" w:hAnsi="仿宋_GB2312" w:eastAsia="仿宋_GB2312" w:cs="仿宋_GB2312"/>
          <w:color w:val="auto"/>
          <w:sz w:val="30"/>
          <w:szCs w:val="30"/>
        </w:rPr>
        <w:t>日下午1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0   理工一</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18</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2.考核流程：</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（1）签到，并抽签。将考核材料递交给工作人员。</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（2）面试。由工作人员统一引导至面试考场。按抽签的顺序进行面试。</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（3）心理测评。由心理健康教育中心专职心理健康教师进行心理测评。</w:t>
      </w:r>
    </w:p>
    <w:p>
      <w:pPr>
        <w:spacing w:line="360" w:lineRule="auto"/>
        <w:ind w:firstLine="602" w:firstLineChars="200"/>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五、考核结果</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考核实行百分制，未达到60分者，不予通过。考核结束后，考核领导小组对考生的考核结果进行审定，并确定考核合格学生名单，限额择优录取。</w:t>
      </w:r>
    </w:p>
    <w:p>
      <w:pPr>
        <w:spacing w:line="360" w:lineRule="auto"/>
        <w:ind w:firstLine="281" w:firstLineChars="100"/>
        <w:rPr>
          <w:rFonts w:hint="eastAsia" w:ascii="仿宋_GB2312" w:hAnsi="仿宋_GB2312" w:eastAsia="仿宋_GB2312" w:cs="仿宋_GB2312"/>
          <w:b/>
          <w:bCs/>
          <w:color w:val="auto"/>
          <w:sz w:val="28"/>
          <w:szCs w:val="28"/>
        </w:rPr>
      </w:pPr>
    </w:p>
    <w:p>
      <w:pPr>
        <w:spacing w:line="360" w:lineRule="auto"/>
        <w:ind w:firstLine="281" w:firstLineChars="100"/>
        <w:rPr>
          <w:rFonts w:hint="eastAsia" w:ascii="仿宋_GB2312" w:hAnsi="仿宋_GB2312" w:eastAsia="仿宋_GB2312" w:cs="仿宋_GB2312"/>
          <w:b/>
          <w:bCs/>
          <w:color w:val="auto"/>
          <w:sz w:val="28"/>
          <w:szCs w:val="28"/>
        </w:rPr>
      </w:pPr>
    </w:p>
    <w:p>
      <w:pPr>
        <w:spacing w:line="360" w:lineRule="auto"/>
        <w:ind w:firstLine="281" w:firstLineChars="100"/>
        <w:rPr>
          <w:rFonts w:hint="eastAsia" w:ascii="仿宋_GB2312" w:hAnsi="仿宋_GB2312" w:eastAsia="仿宋_GB2312" w:cs="仿宋_GB2312"/>
          <w:b/>
          <w:bCs/>
          <w:color w:val="auto"/>
          <w:sz w:val="28"/>
          <w:szCs w:val="28"/>
        </w:rPr>
      </w:pPr>
    </w:p>
    <w:p>
      <w:pPr>
        <w:spacing w:line="360" w:lineRule="auto"/>
        <w:ind w:firstLine="281" w:firstLineChars="100"/>
        <w:rPr>
          <w:rFonts w:hint="eastAsia" w:ascii="仿宋_GB2312" w:hAnsi="仿宋_GB2312" w:eastAsia="仿宋_GB2312" w:cs="仿宋_GB2312"/>
          <w:b/>
          <w:bCs/>
          <w:color w:val="auto"/>
          <w:sz w:val="28"/>
          <w:szCs w:val="28"/>
        </w:rPr>
      </w:pPr>
    </w:p>
    <w:p>
      <w:pPr>
        <w:spacing w:line="360" w:lineRule="auto"/>
        <w:ind w:firstLine="281" w:firstLineChars="100"/>
        <w:rPr>
          <w:rFonts w:hint="eastAsia" w:ascii="仿宋_GB2312" w:hAnsi="仿宋_GB2312" w:eastAsia="仿宋_GB2312" w:cs="仿宋_GB2312"/>
          <w:b/>
          <w:bCs/>
          <w:color w:val="auto"/>
          <w:sz w:val="28"/>
          <w:szCs w:val="28"/>
        </w:rPr>
      </w:pPr>
    </w:p>
    <w:p>
      <w:pPr>
        <w:spacing w:line="360" w:lineRule="auto"/>
        <w:ind w:firstLine="281" w:firstLineChars="100"/>
        <w:rPr>
          <w:rFonts w:hint="eastAsia" w:ascii="仿宋_GB2312" w:hAnsi="仿宋_GB2312" w:eastAsia="仿宋_GB2312" w:cs="仿宋_GB2312"/>
          <w:b/>
          <w:bCs/>
          <w:color w:val="auto"/>
          <w:sz w:val="28"/>
          <w:szCs w:val="28"/>
        </w:rPr>
      </w:pPr>
    </w:p>
    <w:p>
      <w:pPr>
        <w:spacing w:line="360" w:lineRule="auto"/>
        <w:rPr>
          <w:rFonts w:hint="eastAsia" w:ascii="仿宋_GB2312" w:hAnsi="仿宋_GB2312" w:eastAsia="仿宋_GB2312" w:cs="仿宋_GB2312"/>
          <w:b/>
          <w:bCs/>
          <w:color w:val="auto"/>
          <w:sz w:val="28"/>
          <w:szCs w:val="28"/>
        </w:rPr>
      </w:pPr>
    </w:p>
    <w:p>
      <w:pPr>
        <w:spacing w:line="360" w:lineRule="auto"/>
        <w:rPr>
          <w:rFonts w:hint="eastAsia" w:ascii="仿宋_GB2312" w:hAnsi="仿宋_GB2312" w:eastAsia="仿宋_GB2312" w:cs="仿宋_GB2312"/>
          <w:b/>
          <w:bCs/>
          <w:color w:val="auto"/>
          <w:sz w:val="28"/>
          <w:szCs w:val="28"/>
        </w:rPr>
      </w:pPr>
    </w:p>
    <w:p>
      <w:pPr>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br w:type="page"/>
      </w:r>
    </w:p>
    <w:p>
      <w:pPr>
        <w:spacing w:line="360" w:lineRule="auto"/>
        <w:jc w:val="left"/>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附件</w:t>
      </w:r>
      <w:r>
        <w:rPr>
          <w:rFonts w:hint="eastAsia" w:ascii="仿宋_GB2312" w:hAnsi="仿宋_GB2312" w:eastAsia="仿宋_GB2312" w:cs="仿宋_GB2312"/>
          <w:b/>
          <w:color w:val="auto"/>
          <w:sz w:val="30"/>
          <w:szCs w:val="30"/>
          <w:lang w:val="en-US" w:eastAsia="zh-CN"/>
        </w:rPr>
        <w:t>2</w:t>
      </w:r>
      <w:r>
        <w:rPr>
          <w:rFonts w:hint="eastAsia" w:ascii="仿宋_GB2312" w:hAnsi="仿宋_GB2312" w:eastAsia="仿宋_GB2312" w:cs="仿宋_GB2312"/>
          <w:b/>
          <w:color w:val="auto"/>
          <w:sz w:val="30"/>
          <w:szCs w:val="30"/>
        </w:rPr>
        <w:t>：</w:t>
      </w:r>
    </w:p>
    <w:p>
      <w:pPr>
        <w:spacing w:line="360" w:lineRule="auto"/>
        <w:ind w:firstLine="1266" w:firstLineChars="394"/>
        <w:rPr>
          <w:rStyle w:val="9"/>
          <w:rFonts w:hint="eastAsia" w:ascii="仿宋_GB2312" w:hAnsi="仿宋_GB2312" w:eastAsia="仿宋_GB2312" w:cs="仿宋_GB2312"/>
          <w:color w:val="auto"/>
          <w:spacing w:val="8"/>
          <w:sz w:val="32"/>
          <w:szCs w:val="32"/>
        </w:rPr>
      </w:pPr>
      <w:r>
        <w:rPr>
          <w:rFonts w:hint="eastAsia" w:ascii="仿宋_GB2312" w:hAnsi="仿宋_GB2312" w:eastAsia="仿宋_GB2312" w:cs="仿宋_GB2312"/>
          <w:b/>
          <w:color w:val="auto"/>
          <w:sz w:val="32"/>
          <w:szCs w:val="32"/>
        </w:rPr>
        <w:t>音乐学专业（转入）考核内容与评分标准</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为进一步做好教育与音乐学院2022-2123第一学期学生转专业的考核工作，根据《三明学院转专业管理办法（修订）》，结合音乐学专业特点及培养方案要求，特制定本考核方案。</w:t>
      </w:r>
    </w:p>
    <w:p>
      <w:pPr>
        <w:spacing w:line="360" w:lineRule="auto"/>
        <w:ind w:firstLine="602" w:firstLineChars="200"/>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一、考核原则</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kern w:val="0"/>
          <w:sz w:val="30"/>
          <w:szCs w:val="30"/>
        </w:rPr>
        <w:t>入学已满一学期且处于非毕业学年的学生</w:t>
      </w:r>
      <w:r>
        <w:rPr>
          <w:rFonts w:hint="eastAsia" w:ascii="仿宋_GB2312" w:hAnsi="仿宋_GB2312" w:eastAsia="仿宋_GB2312" w:cs="仿宋_GB2312"/>
          <w:color w:val="auto"/>
          <w:sz w:val="30"/>
          <w:szCs w:val="30"/>
        </w:rPr>
        <w:t>申请转入</w:t>
      </w:r>
      <w:r>
        <w:rPr>
          <w:rFonts w:hint="eastAsia" w:ascii="仿宋_GB2312" w:hAnsi="仿宋_GB2312" w:eastAsia="仿宋_GB2312" w:cs="仿宋_GB2312"/>
          <w:color w:val="auto"/>
          <w:sz w:val="30"/>
          <w:szCs w:val="30"/>
          <w:lang w:eastAsia="zh-CN"/>
        </w:rPr>
        <w:t>音乐学</w:t>
      </w:r>
      <w:r>
        <w:rPr>
          <w:rFonts w:hint="eastAsia" w:ascii="仿宋_GB2312" w:hAnsi="仿宋_GB2312" w:eastAsia="仿宋_GB2312" w:cs="仿宋_GB2312"/>
          <w:color w:val="auto"/>
          <w:sz w:val="30"/>
          <w:szCs w:val="30"/>
        </w:rPr>
        <w:t>专业，必须参加由教育与音乐学院</w:t>
      </w:r>
      <w:r>
        <w:rPr>
          <w:rFonts w:hint="eastAsia" w:ascii="仿宋_GB2312" w:hAnsi="仿宋_GB2312" w:eastAsia="仿宋_GB2312" w:cs="仿宋_GB2312"/>
          <w:color w:val="auto"/>
          <w:sz w:val="30"/>
          <w:szCs w:val="30"/>
          <w:lang w:eastAsia="zh-CN"/>
        </w:rPr>
        <w:t>音乐系</w:t>
      </w:r>
      <w:r>
        <w:rPr>
          <w:rFonts w:hint="eastAsia" w:ascii="仿宋_GB2312" w:hAnsi="仿宋_GB2312" w:eastAsia="仿宋_GB2312" w:cs="仿宋_GB2312"/>
          <w:color w:val="auto"/>
          <w:sz w:val="30"/>
          <w:szCs w:val="30"/>
        </w:rPr>
        <w:t>统一组织的转专业考核。考核旨在考察学生适应音乐学专业的基本素质与能力，经考核合格的学生才有资格转入。</w:t>
      </w:r>
    </w:p>
    <w:p>
      <w:pPr>
        <w:spacing w:line="360" w:lineRule="auto"/>
        <w:ind w:firstLine="602" w:firstLineChars="200"/>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二、考核对象</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申请转入</w:t>
      </w:r>
      <w:r>
        <w:rPr>
          <w:rFonts w:hint="eastAsia" w:ascii="仿宋_GB2312" w:hAnsi="仿宋_GB2312" w:eastAsia="仿宋_GB2312" w:cs="仿宋_GB2312"/>
          <w:color w:val="auto"/>
          <w:sz w:val="30"/>
          <w:szCs w:val="30"/>
          <w:lang w:eastAsia="zh-CN"/>
        </w:rPr>
        <w:t>音乐学</w:t>
      </w:r>
      <w:r>
        <w:rPr>
          <w:rFonts w:hint="eastAsia" w:ascii="仿宋_GB2312" w:hAnsi="仿宋_GB2312" w:eastAsia="仿宋_GB2312" w:cs="仿宋_GB2312"/>
          <w:color w:val="auto"/>
          <w:sz w:val="30"/>
          <w:szCs w:val="30"/>
        </w:rPr>
        <w:t>专业，符合转专业规定条件且通过学校资格审查的在校普通全日制本科学生。</w:t>
      </w:r>
    </w:p>
    <w:p>
      <w:pPr>
        <w:spacing w:line="360" w:lineRule="auto"/>
        <w:ind w:firstLine="602" w:firstLineChars="200"/>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三、考核形式</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 审核材料：转专业申请表、辅导员的推荐意见（含学生在读期间所有考试的学业成绩、获奖情况、担任学生干部情况）。</w:t>
      </w:r>
    </w:p>
    <w:p>
      <w:pPr>
        <w:spacing w:line="360" w:lineRule="auto"/>
        <w:ind w:firstLine="602"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b/>
          <w:color w:val="auto"/>
          <w:sz w:val="30"/>
          <w:szCs w:val="30"/>
        </w:rPr>
        <w:t>四、考试内容、形式和评分标准</w:t>
      </w:r>
      <w:r>
        <w:rPr>
          <w:rFonts w:hint="eastAsia" w:ascii="仿宋_GB2312" w:hAnsi="仿宋_GB2312" w:eastAsia="仿宋_GB2312" w:cs="仿宋_GB2312"/>
          <w:b/>
          <w:color w:val="auto"/>
          <w:sz w:val="30"/>
          <w:szCs w:val="30"/>
        </w:rPr>
        <w:br w:type="textWrapping"/>
      </w:r>
      <w:r>
        <w:rPr>
          <w:rFonts w:hint="eastAsia" w:ascii="仿宋_GB2312" w:hAnsi="仿宋_GB2312" w:eastAsia="仿宋_GB2312" w:cs="仿宋_GB2312"/>
          <w:b/>
          <w:color w:val="auto"/>
          <w:spacing w:val="8"/>
          <w:sz w:val="30"/>
          <w:szCs w:val="30"/>
        </w:rPr>
        <w:t>　</w:t>
      </w:r>
      <w:r>
        <w:rPr>
          <w:rFonts w:hint="eastAsia" w:ascii="仿宋_GB2312" w:hAnsi="仿宋_GB2312" w:eastAsia="仿宋_GB2312" w:cs="仿宋_GB2312"/>
          <w:b/>
          <w:bCs/>
          <w:color w:val="auto"/>
          <w:spacing w:val="8"/>
          <w:sz w:val="30"/>
          <w:szCs w:val="30"/>
        </w:rPr>
        <w:t>　（一）声乐考试内容、形式和评分标准</w:t>
      </w:r>
      <w:r>
        <w:rPr>
          <w:rStyle w:val="9"/>
          <w:rFonts w:hint="eastAsia" w:ascii="仿宋_GB2312" w:hAnsi="仿宋_GB2312" w:eastAsia="仿宋_GB2312" w:cs="仿宋_GB2312"/>
          <w:color w:val="auto"/>
          <w:spacing w:val="8"/>
          <w:sz w:val="30"/>
          <w:szCs w:val="30"/>
        </w:rPr>
        <w:t>（25分）</w:t>
      </w:r>
      <w:r>
        <w:rPr>
          <w:rFonts w:hint="eastAsia" w:ascii="仿宋_GB2312" w:hAnsi="仿宋_GB2312" w:eastAsia="仿宋_GB2312" w:cs="仿宋_GB2312"/>
          <w:b/>
          <w:bCs/>
          <w:color w:val="auto"/>
          <w:spacing w:val="8"/>
          <w:sz w:val="30"/>
          <w:szCs w:val="30"/>
        </w:rPr>
        <w:br w:type="textWrapping"/>
      </w:r>
      <w:r>
        <w:rPr>
          <w:rFonts w:hint="eastAsia" w:ascii="仿宋_GB2312" w:hAnsi="仿宋_GB2312" w:eastAsia="仿宋_GB2312" w:cs="仿宋_GB2312"/>
          <w:color w:val="auto"/>
          <w:spacing w:val="8"/>
          <w:sz w:val="30"/>
          <w:szCs w:val="30"/>
        </w:rPr>
        <w:t>　　</w:t>
      </w:r>
      <w:r>
        <w:rPr>
          <w:rFonts w:hint="eastAsia" w:ascii="仿宋_GB2312" w:hAnsi="仿宋_GB2312" w:eastAsia="仿宋_GB2312" w:cs="仿宋_GB2312"/>
          <w:color w:val="auto"/>
          <w:sz w:val="30"/>
          <w:szCs w:val="30"/>
        </w:rPr>
        <w:t>1.考试目的</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通过考生所演唱的歌曲，测定考生的嗓音条件、音准、节奏、音乐表现等。</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2.考试内容</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内容包括：中外民歌、艺术歌曲、歌剧咏叹调（不包括通俗歌曲），曲目自选。</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考试演唱歌曲1首，主考教师可根据具体情况调整考生演唱</w:t>
      </w:r>
      <w:r>
        <w:rPr>
          <w:rFonts w:hint="eastAsia" w:ascii="仿宋_GB2312" w:hAnsi="仿宋_GB2312" w:eastAsia="仿宋_GB2312" w:cs="仿宋_GB2312"/>
          <w:color w:val="auto"/>
          <w:spacing w:val="8"/>
          <w:sz w:val="30"/>
          <w:szCs w:val="30"/>
        </w:rPr>
        <w:t>的时</w:t>
      </w:r>
      <w:r>
        <w:rPr>
          <w:rFonts w:hint="eastAsia" w:ascii="仿宋_GB2312" w:hAnsi="仿宋_GB2312" w:eastAsia="仿宋_GB2312" w:cs="仿宋_GB2312"/>
          <w:color w:val="auto"/>
          <w:sz w:val="30"/>
          <w:szCs w:val="30"/>
        </w:rPr>
        <w:t>间。可自带钢琴伴奏。</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3.考试形式</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现场演唱。</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4.评分标准</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由嗓音条件、演唱方法、音乐表现、形象四个部分构成。</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（1）嗓音条件（占40％）</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要求音色明亮、圆润、音质干净、声音有较大的可塑性，发声、呼吸器官无疾病。</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（2）音乐表现（占30％）</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能较准确地运用普通话或原文演唱中外歌曲，能较好地表现歌曲情感、音高、节奏准确，演唱较完整。</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（3）演唱方法（占25％）</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发声方法基本正确，无不良发声习惯，呼吸、声音通畅，吐字清晰。</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（4）形象（占5％）</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要求五官端正，身高符合招生简章规定标准，端庄大方。</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pacing w:val="8"/>
          <w:sz w:val="30"/>
          <w:szCs w:val="30"/>
        </w:rPr>
        <w:t>　　</w:t>
      </w:r>
      <w:r>
        <w:rPr>
          <w:rFonts w:hint="eastAsia" w:ascii="仿宋_GB2312" w:hAnsi="仿宋_GB2312" w:eastAsia="仿宋_GB2312" w:cs="仿宋_GB2312"/>
          <w:b/>
          <w:bCs/>
          <w:color w:val="auto"/>
          <w:spacing w:val="8"/>
          <w:sz w:val="30"/>
          <w:szCs w:val="30"/>
        </w:rPr>
        <w:t>（二）器乐考试内容、形式和评分标准</w:t>
      </w:r>
      <w:r>
        <w:rPr>
          <w:rStyle w:val="9"/>
          <w:rFonts w:hint="eastAsia" w:ascii="仿宋_GB2312" w:hAnsi="仿宋_GB2312" w:eastAsia="仿宋_GB2312" w:cs="仿宋_GB2312"/>
          <w:color w:val="auto"/>
          <w:spacing w:val="8"/>
          <w:sz w:val="30"/>
          <w:szCs w:val="30"/>
        </w:rPr>
        <w:t>（25分）</w:t>
      </w:r>
      <w:r>
        <w:rPr>
          <w:rFonts w:hint="eastAsia" w:ascii="仿宋_GB2312" w:hAnsi="仿宋_GB2312" w:eastAsia="仿宋_GB2312" w:cs="仿宋_GB2312"/>
          <w:b/>
          <w:bCs/>
          <w:color w:val="auto"/>
          <w:spacing w:val="8"/>
          <w:sz w:val="30"/>
          <w:szCs w:val="30"/>
        </w:rPr>
        <w:br w:type="textWrapping"/>
      </w:r>
      <w:r>
        <w:rPr>
          <w:rFonts w:hint="eastAsia" w:ascii="仿宋_GB2312" w:hAnsi="仿宋_GB2312" w:eastAsia="仿宋_GB2312" w:cs="仿宋_GB2312"/>
          <w:color w:val="auto"/>
          <w:spacing w:val="8"/>
          <w:sz w:val="30"/>
          <w:szCs w:val="30"/>
        </w:rPr>
        <w:t>　　</w:t>
      </w:r>
      <w:r>
        <w:rPr>
          <w:rFonts w:hint="eastAsia" w:ascii="仿宋_GB2312" w:hAnsi="仿宋_GB2312" w:eastAsia="仿宋_GB2312" w:cs="仿宋_GB2312"/>
          <w:color w:val="auto"/>
          <w:sz w:val="30"/>
          <w:szCs w:val="30"/>
        </w:rPr>
        <w:t>1.考试目的</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通过考试测定考生的演奏水平和综合能力。</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2.考试内容</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（1）乐器种类：中西各类管弦乐器、弹拨乐器及手风琴等。</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（2）演奏乐曲一首。注：主考教师可根据具体情况调整考生演奏的时间）</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3.考试形式</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现场演奏，乐器自备（除钢琴外）。</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4.评分标准</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评分根据以下几个方面：</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（1）具有学习所选乐器的生理条件。</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（2）具有正确的演奏方法、演奏姿势和演奏状态。</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（3）乐曲演奏规范、流畅和完整、基本功扎实，具有正确把握节奏、力度、速度、音色及音准的能力。</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（4）能较好地体现乐曲的内容与风格，具有较强的乐感和艺术表现力。</w:t>
      </w:r>
    </w:p>
    <w:p>
      <w:pPr>
        <w:spacing w:line="360" w:lineRule="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pacing w:val="8"/>
          <w:sz w:val="30"/>
          <w:szCs w:val="30"/>
        </w:rPr>
        <w:t>　　</w:t>
      </w:r>
      <w:r>
        <w:rPr>
          <w:rFonts w:hint="eastAsia" w:ascii="仿宋_GB2312" w:hAnsi="仿宋_GB2312" w:eastAsia="仿宋_GB2312" w:cs="仿宋_GB2312"/>
          <w:b/>
          <w:bCs/>
          <w:color w:val="auto"/>
          <w:spacing w:val="8"/>
          <w:sz w:val="30"/>
          <w:szCs w:val="30"/>
        </w:rPr>
        <w:t>（三）视唱练耳考试内容、形式和评分标准</w:t>
      </w:r>
      <w:r>
        <w:rPr>
          <w:rStyle w:val="9"/>
          <w:rFonts w:hint="eastAsia" w:ascii="仿宋_GB2312" w:hAnsi="仿宋_GB2312" w:eastAsia="仿宋_GB2312" w:cs="仿宋_GB2312"/>
          <w:color w:val="auto"/>
          <w:spacing w:val="8"/>
          <w:sz w:val="30"/>
          <w:szCs w:val="30"/>
        </w:rPr>
        <w:t>（25分）</w:t>
      </w:r>
      <w:r>
        <w:rPr>
          <w:rFonts w:hint="eastAsia" w:ascii="仿宋_GB2312" w:hAnsi="仿宋_GB2312" w:eastAsia="仿宋_GB2312" w:cs="仿宋_GB2312"/>
          <w:b/>
          <w:bCs/>
          <w:color w:val="auto"/>
          <w:spacing w:val="8"/>
          <w:sz w:val="30"/>
          <w:szCs w:val="30"/>
        </w:rPr>
        <w:br w:type="textWrapping"/>
      </w:r>
      <w:r>
        <w:rPr>
          <w:rFonts w:hint="eastAsia" w:ascii="仿宋_GB2312" w:hAnsi="仿宋_GB2312" w:eastAsia="仿宋_GB2312" w:cs="仿宋_GB2312"/>
          <w:color w:val="auto"/>
          <w:spacing w:val="8"/>
          <w:sz w:val="30"/>
          <w:szCs w:val="30"/>
        </w:rPr>
        <w:t>　　</w:t>
      </w:r>
      <w:r>
        <w:rPr>
          <w:rFonts w:hint="eastAsia" w:ascii="仿宋_GB2312" w:hAnsi="仿宋_GB2312" w:eastAsia="仿宋_GB2312" w:cs="仿宋_GB2312"/>
          <w:color w:val="auto"/>
          <w:sz w:val="30"/>
          <w:szCs w:val="30"/>
        </w:rPr>
        <w:t>1.考试目的</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视唱练耳是考生的必考项，测试学生的音乐听觉能力、视唱能力。　　</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2.考试内容</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分练耳、视唱两个部分。</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①练耳可用“啦”等模唱。</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w:t>
      </w:r>
      <w:bookmarkStart w:id="3" w:name="_GoBack"/>
      <w:bookmarkEnd w:id="3"/>
      <w:r>
        <w:rPr>
          <w:rFonts w:hint="eastAsia" w:ascii="仿宋_GB2312" w:hAnsi="仿宋_GB2312" w:eastAsia="仿宋_GB2312" w:cs="仿宋_GB2312"/>
          <w:color w:val="auto"/>
          <w:sz w:val="30"/>
          <w:szCs w:val="30"/>
        </w:rPr>
        <w:t>a 和声音程（2个），范围在自然音程内。B三和弦(2个)c属七和弦（1个）</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②视唱</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五线谱视唱或简谱视唱。</w:t>
      </w:r>
      <w:r>
        <w:rPr>
          <w:rFonts w:hint="eastAsia" w:ascii="仿宋_GB2312" w:hAnsi="仿宋_GB2312" w:eastAsia="仿宋_GB2312" w:cs="仿宋_GB2312"/>
          <w:color w:val="auto"/>
          <w:sz w:val="30"/>
          <w:szCs w:val="30"/>
        </w:rPr>
        <w:br w:type="textWrapping"/>
      </w:r>
      <w:r>
        <w:rPr>
          <w:rFonts w:hint="eastAsia" w:ascii="仿宋_GB2312" w:hAnsi="仿宋_GB2312" w:eastAsia="仿宋_GB2312" w:cs="仿宋_GB2312"/>
          <w:color w:val="auto"/>
          <w:sz w:val="30"/>
          <w:szCs w:val="30"/>
        </w:rPr>
        <w:t>　　内容：一个升降调号内的大、小调式，五声调式，七声调式。节奏组合方式为基本节奏型。</w:t>
      </w:r>
    </w:p>
    <w:p>
      <w:pPr>
        <w:spacing w:line="360" w:lineRule="auto"/>
        <w:ind w:firstLine="450"/>
        <w:rPr>
          <w:rFonts w:hint="eastAsia" w:ascii="仿宋_GB2312" w:hAnsi="仿宋_GB2312" w:eastAsia="仿宋_GB2312" w:cs="仿宋_GB2312"/>
          <w:b/>
          <w:bCs/>
          <w:color w:val="auto"/>
          <w:spacing w:val="8"/>
          <w:sz w:val="30"/>
          <w:szCs w:val="30"/>
        </w:rPr>
      </w:pPr>
      <w:r>
        <w:rPr>
          <w:rFonts w:hint="eastAsia" w:ascii="仿宋_GB2312" w:hAnsi="仿宋_GB2312" w:eastAsia="仿宋_GB2312" w:cs="仿宋_GB2312"/>
          <w:b/>
          <w:bCs/>
          <w:color w:val="auto"/>
          <w:spacing w:val="8"/>
          <w:sz w:val="30"/>
          <w:szCs w:val="30"/>
        </w:rPr>
        <w:t>（四）现场提问</w:t>
      </w:r>
      <w:r>
        <w:rPr>
          <w:rStyle w:val="9"/>
          <w:rFonts w:hint="eastAsia" w:ascii="仿宋_GB2312" w:hAnsi="仿宋_GB2312" w:eastAsia="仿宋_GB2312" w:cs="仿宋_GB2312"/>
          <w:color w:val="auto"/>
          <w:spacing w:val="8"/>
          <w:sz w:val="30"/>
          <w:szCs w:val="30"/>
        </w:rPr>
        <w:t>（25分）</w:t>
      </w:r>
    </w:p>
    <w:p>
      <w:pPr>
        <w:spacing w:line="360" w:lineRule="auto"/>
        <w:ind w:firstLine="600" w:firstLineChars="200"/>
        <w:rPr>
          <w:rFonts w:hint="eastAsia" w:ascii="仿宋_GB2312" w:hAnsi="仿宋_GB2312" w:eastAsia="仿宋_GB2312" w:cs="仿宋_GB2312"/>
          <w:color w:val="auto"/>
          <w:spacing w:val="8"/>
          <w:sz w:val="30"/>
          <w:szCs w:val="30"/>
        </w:rPr>
      </w:pPr>
      <w:r>
        <w:rPr>
          <w:rFonts w:hint="eastAsia" w:ascii="仿宋_GB2312" w:hAnsi="仿宋_GB2312" w:eastAsia="仿宋_GB2312" w:cs="仿宋_GB2312"/>
          <w:color w:val="auto"/>
          <w:sz w:val="30"/>
          <w:szCs w:val="30"/>
        </w:rPr>
        <w:t>对音乐教育专业及音乐教师的认识</w:t>
      </w:r>
    </w:p>
    <w:p>
      <w:pPr>
        <w:spacing w:line="360" w:lineRule="auto"/>
        <w:ind w:firstLine="602" w:firstLineChars="200"/>
        <w:rPr>
          <w:rFonts w:hint="eastAsia" w:ascii="仿宋_GB2312" w:hAnsi="仿宋_GB2312" w:eastAsia="仿宋_GB2312" w:cs="仿宋_GB2312"/>
          <w:color w:val="auto"/>
          <w:spacing w:val="8"/>
          <w:sz w:val="30"/>
          <w:szCs w:val="30"/>
        </w:rPr>
      </w:pPr>
      <w:r>
        <w:rPr>
          <w:rFonts w:hint="eastAsia" w:ascii="仿宋_GB2312" w:hAnsi="仿宋_GB2312" w:eastAsia="仿宋_GB2312" w:cs="仿宋_GB2312"/>
          <w:b/>
          <w:color w:val="auto"/>
          <w:sz w:val="30"/>
          <w:szCs w:val="30"/>
        </w:rPr>
        <w:t>五、考核结果</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考核实行百分制，总分未达到70分者，不予通过。考核结束后，考核领导小组对考生的考核结果进行审定，并确定考核合格学生名单，限额择优录取。</w:t>
      </w:r>
    </w:p>
    <w:p>
      <w:pP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br w:type="page"/>
      </w:r>
    </w:p>
    <w:p>
      <w:pPr>
        <w:spacing w:line="360" w:lineRule="auto"/>
        <w:ind w:firstLine="562" w:firstLineChars="200"/>
        <w:rPr>
          <w:rFonts w:hint="eastAsia" w:ascii="仿宋_GB2312" w:hAnsi="仿宋_GB2312" w:eastAsia="仿宋_GB2312" w:cs="仿宋_GB2312"/>
          <w:b/>
          <w:bCs/>
          <w:color w:val="auto"/>
          <w:kern w:val="0"/>
          <w:sz w:val="28"/>
          <w:szCs w:val="28"/>
        </w:rPr>
      </w:pPr>
      <w:r>
        <w:rPr>
          <w:rFonts w:hint="eastAsia" w:ascii="仿宋_GB2312" w:hAnsi="仿宋_GB2312" w:eastAsia="仿宋_GB2312" w:cs="仿宋_GB2312"/>
          <w:b/>
          <w:bCs/>
          <w:color w:val="auto"/>
          <w:kern w:val="0"/>
          <w:sz w:val="28"/>
          <w:szCs w:val="28"/>
        </w:rPr>
        <w:t>附件</w:t>
      </w:r>
      <w:r>
        <w:rPr>
          <w:rFonts w:hint="eastAsia" w:ascii="仿宋_GB2312" w:hAnsi="仿宋_GB2312" w:eastAsia="仿宋_GB2312" w:cs="仿宋_GB2312"/>
          <w:b/>
          <w:bCs/>
          <w:color w:val="auto"/>
          <w:kern w:val="0"/>
          <w:sz w:val="28"/>
          <w:szCs w:val="28"/>
          <w:lang w:val="en-US" w:eastAsia="zh-CN"/>
        </w:rPr>
        <w:t>3</w:t>
      </w:r>
      <w:r>
        <w:rPr>
          <w:rFonts w:hint="eastAsia" w:ascii="仿宋_GB2312" w:hAnsi="仿宋_GB2312" w:eastAsia="仿宋_GB2312" w:cs="仿宋_GB2312"/>
          <w:b/>
          <w:bCs/>
          <w:color w:val="auto"/>
          <w:kern w:val="0"/>
          <w:sz w:val="28"/>
          <w:szCs w:val="28"/>
        </w:rPr>
        <w:t>：</w:t>
      </w:r>
    </w:p>
    <w:p>
      <w:pPr>
        <w:spacing w:line="360" w:lineRule="auto"/>
        <w:jc w:val="center"/>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小学教育转专业（转入）方案</w:t>
      </w:r>
    </w:p>
    <w:p>
      <w:pPr>
        <w:spacing w:line="360" w:lineRule="auto"/>
        <w:ind w:firstLine="6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为进一步做好教育与音乐学院202</w:t>
      </w:r>
      <w:r>
        <w:rPr>
          <w:rFonts w:hint="eastAsia" w:ascii="仿宋_GB2312" w:hAnsi="仿宋_GB2312" w:eastAsia="仿宋_GB2312" w:cs="仿宋_GB2312"/>
          <w:color w:val="auto"/>
          <w:sz w:val="30"/>
          <w:szCs w:val="30"/>
          <w:lang w:val="en-US" w:eastAsia="zh-CN"/>
        </w:rPr>
        <w:t>2</w:t>
      </w:r>
      <w:r>
        <w:rPr>
          <w:rFonts w:hint="eastAsia" w:ascii="仿宋_GB2312" w:hAnsi="仿宋_GB2312" w:eastAsia="仿宋_GB2312" w:cs="仿宋_GB2312"/>
          <w:color w:val="auto"/>
          <w:sz w:val="30"/>
          <w:szCs w:val="30"/>
        </w:rPr>
        <w:t>-202</w:t>
      </w: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color w:val="auto"/>
          <w:sz w:val="30"/>
          <w:szCs w:val="30"/>
        </w:rPr>
        <w:t>第</w:t>
      </w:r>
      <w:r>
        <w:rPr>
          <w:rFonts w:hint="eastAsia" w:ascii="仿宋_GB2312" w:hAnsi="仿宋_GB2312" w:eastAsia="仿宋_GB2312" w:cs="仿宋_GB2312"/>
          <w:color w:val="auto"/>
          <w:sz w:val="30"/>
          <w:szCs w:val="30"/>
          <w:lang w:eastAsia="zh-CN"/>
        </w:rPr>
        <w:t>一</w:t>
      </w:r>
      <w:r>
        <w:rPr>
          <w:rFonts w:hint="eastAsia" w:ascii="仿宋_GB2312" w:hAnsi="仿宋_GB2312" w:eastAsia="仿宋_GB2312" w:cs="仿宋_GB2312"/>
          <w:color w:val="auto"/>
          <w:sz w:val="30"/>
          <w:szCs w:val="30"/>
        </w:rPr>
        <w:t>学期学生转专业的考核工作，根据《三明学院转专业管理办法（修订）》，结合</w:t>
      </w:r>
      <w:r>
        <w:rPr>
          <w:rFonts w:hint="eastAsia" w:ascii="仿宋_GB2312" w:hAnsi="仿宋_GB2312" w:eastAsia="仿宋_GB2312" w:cs="仿宋_GB2312"/>
          <w:color w:val="auto"/>
          <w:sz w:val="30"/>
          <w:szCs w:val="30"/>
          <w:lang w:eastAsia="zh-CN"/>
        </w:rPr>
        <w:t>小学教育</w:t>
      </w:r>
      <w:r>
        <w:rPr>
          <w:rFonts w:hint="eastAsia" w:ascii="仿宋_GB2312" w:hAnsi="仿宋_GB2312" w:eastAsia="仿宋_GB2312" w:cs="仿宋_GB2312"/>
          <w:color w:val="auto"/>
          <w:sz w:val="30"/>
          <w:szCs w:val="30"/>
        </w:rPr>
        <w:t>专业特点及培养方案要求，特制定本考核方案。</w:t>
      </w:r>
    </w:p>
    <w:p>
      <w:pPr>
        <w:spacing w:line="360" w:lineRule="auto"/>
        <w:ind w:firstLine="600"/>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一、</w:t>
      </w:r>
      <w:bookmarkStart w:id="1" w:name="_Hlk59434211"/>
      <w:r>
        <w:rPr>
          <w:rFonts w:hint="eastAsia" w:ascii="仿宋_GB2312" w:hAnsi="仿宋_GB2312" w:eastAsia="仿宋_GB2312" w:cs="仿宋_GB2312"/>
          <w:b/>
          <w:bCs/>
          <w:color w:val="auto"/>
          <w:sz w:val="30"/>
          <w:szCs w:val="30"/>
        </w:rPr>
        <w:t>转入</w:t>
      </w:r>
      <w:bookmarkEnd w:id="1"/>
      <w:r>
        <w:rPr>
          <w:rFonts w:hint="eastAsia" w:ascii="仿宋_GB2312" w:hAnsi="仿宋_GB2312" w:eastAsia="仿宋_GB2312" w:cs="仿宋_GB2312"/>
          <w:b/>
          <w:bCs/>
          <w:color w:val="auto"/>
          <w:sz w:val="30"/>
          <w:szCs w:val="30"/>
        </w:rPr>
        <w:t>原则</w:t>
      </w:r>
    </w:p>
    <w:p>
      <w:pPr>
        <w:spacing w:line="360" w:lineRule="auto"/>
        <w:ind w:firstLine="6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kern w:val="0"/>
          <w:sz w:val="30"/>
          <w:szCs w:val="30"/>
        </w:rPr>
        <w:t>入学已满一学期且处于非毕业学年的学生</w:t>
      </w:r>
      <w:r>
        <w:rPr>
          <w:rFonts w:hint="eastAsia" w:ascii="仿宋_GB2312" w:hAnsi="仿宋_GB2312" w:eastAsia="仿宋_GB2312" w:cs="仿宋_GB2312"/>
          <w:color w:val="auto"/>
          <w:sz w:val="30"/>
          <w:szCs w:val="30"/>
        </w:rPr>
        <w:t>申请转入小学教育专业，必须参加由教育与音乐学院</w:t>
      </w:r>
      <w:r>
        <w:rPr>
          <w:rFonts w:hint="eastAsia" w:ascii="仿宋_GB2312" w:hAnsi="仿宋_GB2312" w:eastAsia="仿宋_GB2312" w:cs="仿宋_GB2312"/>
          <w:color w:val="auto"/>
          <w:sz w:val="30"/>
          <w:szCs w:val="30"/>
          <w:lang w:eastAsia="zh-CN"/>
        </w:rPr>
        <w:t>小学教育系</w:t>
      </w:r>
      <w:r>
        <w:rPr>
          <w:rFonts w:hint="eastAsia" w:ascii="仿宋_GB2312" w:hAnsi="仿宋_GB2312" w:eastAsia="仿宋_GB2312" w:cs="仿宋_GB2312"/>
          <w:color w:val="auto"/>
          <w:sz w:val="30"/>
          <w:szCs w:val="30"/>
        </w:rPr>
        <w:t>统一组织的转专业考核。考核旨在考察学生适应小学教育专业的基本素质与能力，经考核合格的学生才有资格转入。</w:t>
      </w:r>
    </w:p>
    <w:p>
      <w:pPr>
        <w:spacing w:line="360" w:lineRule="auto"/>
        <w:ind w:firstLine="600"/>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二、转入对象</w:t>
      </w:r>
    </w:p>
    <w:p>
      <w:pPr>
        <w:spacing w:line="360" w:lineRule="auto"/>
        <w:ind w:firstLine="6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申请转入小学教育专业，符合转专业规定条件且通过学校资格审查的在校普通全日制本科学生。</w:t>
      </w:r>
    </w:p>
    <w:p>
      <w:pPr>
        <w:spacing w:line="360" w:lineRule="auto"/>
        <w:ind w:firstLine="600"/>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三、转入形式</w:t>
      </w:r>
    </w:p>
    <w:p>
      <w:pPr>
        <w:spacing w:line="360" w:lineRule="auto"/>
        <w:ind w:firstLine="6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 审核材料：转专业申请表、辅导员的推荐意见（含学生在读期间所有考试的学业成绩、获奖情况、担任学生干部情况）。</w:t>
      </w:r>
    </w:p>
    <w:p>
      <w:pPr>
        <w:spacing w:line="360" w:lineRule="auto"/>
        <w:ind w:firstLine="6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 面试：</w:t>
      </w:r>
    </w:p>
    <w:p>
      <w:pPr>
        <w:spacing w:line="360" w:lineRule="auto"/>
        <w:ind w:firstLine="6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（1）对小学教育专业及小学教师的认识，对转入本专业原因的说明（25分）</w:t>
      </w:r>
    </w:p>
    <w:p>
      <w:pPr>
        <w:spacing w:line="360" w:lineRule="auto"/>
        <w:ind w:firstLine="6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（2）朗读（25分）</w:t>
      </w:r>
    </w:p>
    <w:p>
      <w:pPr>
        <w:spacing w:line="360" w:lineRule="auto"/>
        <w:ind w:firstLine="6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（3）板书</w:t>
      </w:r>
      <w:bookmarkStart w:id="2" w:name="_Hlk59434451"/>
      <w:r>
        <w:rPr>
          <w:rFonts w:hint="eastAsia" w:ascii="仿宋_GB2312" w:hAnsi="仿宋_GB2312" w:eastAsia="仿宋_GB2312" w:cs="仿宋_GB2312"/>
          <w:color w:val="auto"/>
          <w:sz w:val="30"/>
          <w:szCs w:val="30"/>
        </w:rPr>
        <w:t>（25分）</w:t>
      </w:r>
    </w:p>
    <w:bookmarkEnd w:id="2"/>
    <w:p>
      <w:pPr>
        <w:spacing w:line="360" w:lineRule="auto"/>
        <w:ind w:firstLine="6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（4）心理测评（25分）</w:t>
      </w:r>
    </w:p>
    <w:p>
      <w:pPr>
        <w:spacing w:line="360" w:lineRule="auto"/>
        <w:ind w:firstLine="600"/>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四、考核具体安排</w:t>
      </w:r>
    </w:p>
    <w:p>
      <w:pPr>
        <w:spacing w:line="360" w:lineRule="auto"/>
        <w:ind w:left="480"/>
        <w:jc w:val="lef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1.时间、地点：2021年12月8日下午14:30  理工一320</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2.考核流程：</w:t>
      </w:r>
    </w:p>
    <w:p>
      <w:pPr>
        <w:spacing w:line="360" w:lineRule="auto"/>
        <w:ind w:firstLine="6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（1）签到，并抽签。将考核材料递交给工作人员。</w:t>
      </w:r>
    </w:p>
    <w:p>
      <w:pPr>
        <w:spacing w:line="360" w:lineRule="auto"/>
        <w:ind w:firstLine="6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（2）面试。由工作人员统一引导至面试考场。按抽签的顺序进行面试。</w:t>
      </w:r>
    </w:p>
    <w:p>
      <w:pPr>
        <w:spacing w:line="360" w:lineRule="auto"/>
        <w:ind w:firstLine="6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（3）心理测评。由心理健康教育中心专职心理健康教师进行心理测评。</w:t>
      </w:r>
    </w:p>
    <w:p>
      <w:pPr>
        <w:spacing w:line="360" w:lineRule="auto"/>
        <w:ind w:firstLine="600"/>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五、考核评分标准</w:t>
      </w:r>
    </w:p>
    <w:p>
      <w:pPr>
        <w:spacing w:line="360" w:lineRule="auto"/>
        <w:ind w:firstLine="602" w:firstLineChars="200"/>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（一）粉笔字</w:t>
      </w:r>
    </w:p>
    <w:p>
      <w:pPr>
        <w:spacing w:line="360" w:lineRule="auto"/>
        <w:ind w:firstLine="753" w:firstLineChars="250"/>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1.考核内容与考核方式</w:t>
      </w:r>
    </w:p>
    <w:p>
      <w:pPr>
        <w:spacing w:line="360" w:lineRule="auto"/>
        <w:ind w:left="225" w:leftChars="107"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要求在一块小黑板上用粉笔书写一首五言绝句，共20个字。在20分钟内，用学生自带的一块小黑板上写一首五言绝句。具体考试内容由监考老师临场宣布，监考老师当场评分。</w:t>
      </w:r>
    </w:p>
    <w:p>
      <w:pPr>
        <w:spacing w:line="360" w:lineRule="auto"/>
        <w:ind w:firstLine="753" w:firstLineChars="250"/>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2.评分标准</w:t>
      </w:r>
    </w:p>
    <w:p>
      <w:pPr>
        <w:spacing w:line="360" w:lineRule="auto"/>
        <w:ind w:firstLine="750" w:firstLineChars="25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考核按百分制打分，具体标准如下：</w:t>
      </w:r>
    </w:p>
    <w:p>
      <w:pPr>
        <w:spacing w:line="360" w:lineRule="auto"/>
        <w:ind w:left="225" w:leftChars="107" w:firstLine="450" w:firstLineChars="15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第一档（85-95分）：笔画流畅，结构合理，章法布局疏密有致、赏心悦目，能写出不同楷书书体的风格韵味。</w:t>
      </w:r>
    </w:p>
    <w:p>
      <w:pPr>
        <w:spacing w:line="360" w:lineRule="auto"/>
        <w:ind w:left="225" w:leftChars="107"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第二档（75-85分）：笔画较流畅，结构较合理，章法布局也较和谐，能写出所学楷书书体的大致特征。</w:t>
      </w:r>
    </w:p>
    <w:p>
      <w:pPr>
        <w:spacing w:line="360" w:lineRule="auto"/>
        <w:ind w:left="225" w:leftChars="107"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第三档（60-75分）：</w:t>
      </w:r>
    </w:p>
    <w:p>
      <w:pPr>
        <w:spacing w:line="360" w:lineRule="auto"/>
        <w:ind w:left="225" w:leftChars="107"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笔画基本流畅，结构也还合理，章法布局大体合乎要求。</w:t>
      </w:r>
    </w:p>
    <w:p>
      <w:pPr>
        <w:spacing w:line="360" w:lineRule="auto"/>
        <w:ind w:left="225" w:leftChars="107"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第四档（60分以下）：</w:t>
      </w:r>
    </w:p>
    <w:p>
      <w:pPr>
        <w:spacing w:line="360" w:lineRule="auto"/>
        <w:ind w:left="225" w:leftChars="107"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笔画不够流畅，结构不尽合理，章法布局基本无法达到要求。</w:t>
      </w:r>
    </w:p>
    <w:p>
      <w:pPr>
        <w:spacing w:line="360" w:lineRule="auto"/>
        <w:ind w:firstLine="602" w:firstLineChars="200"/>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（二）朗读</w:t>
      </w:r>
    </w:p>
    <w:p>
      <w:pPr>
        <w:spacing w:line="360" w:lineRule="auto"/>
        <w:ind w:firstLine="602" w:firstLineChars="200"/>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1.考核内容与考核方式</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 xml:space="preserve"> 以普通话口语测试大纲中公布的50篇朗读材料作为朗读文本的选项，要求在规定的时间按监考老师指定的段落进行现场朗读。</w:t>
      </w:r>
    </w:p>
    <w:p>
      <w:pPr>
        <w:spacing w:line="360" w:lineRule="auto"/>
        <w:ind w:firstLine="602" w:firstLineChars="200"/>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2.评分标准</w:t>
      </w:r>
    </w:p>
    <w:p>
      <w:pPr>
        <w:spacing w:line="360" w:lineRule="auto"/>
        <w:ind w:firstLine="602" w:firstLineChars="200"/>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一等（85-95分）</w:t>
      </w:r>
    </w:p>
    <w:p>
      <w:pPr>
        <w:spacing w:line="360" w:lineRule="auto"/>
        <w:ind w:firstLine="600" w:firstLineChars="200"/>
        <w:rPr>
          <w:rFonts w:hint="eastAsia" w:ascii="仿宋_GB2312" w:hAnsi="仿宋_GB2312" w:eastAsia="仿宋_GB2312" w:cs="仿宋_GB2312"/>
          <w:bCs/>
          <w:color w:val="auto"/>
          <w:sz w:val="30"/>
          <w:szCs w:val="30"/>
        </w:rPr>
      </w:pPr>
      <w:r>
        <w:rPr>
          <w:rFonts w:hint="eastAsia" w:ascii="仿宋_GB2312" w:hAnsi="仿宋_GB2312" w:eastAsia="仿宋_GB2312" w:cs="仿宋_GB2312"/>
          <w:bCs/>
          <w:color w:val="auto"/>
          <w:sz w:val="30"/>
          <w:szCs w:val="30"/>
        </w:rPr>
        <w:t>1.不丢字，不添字，不改字，不错读字音。读得连贯自然，不结巴、不重复。</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2.语音标准，</w:t>
      </w:r>
      <w:r>
        <w:rPr>
          <w:rFonts w:hint="eastAsia" w:ascii="仿宋_GB2312" w:hAnsi="仿宋_GB2312" w:eastAsia="仿宋_GB2312" w:cs="仿宋_GB2312"/>
          <w:bCs/>
          <w:color w:val="auto"/>
          <w:sz w:val="30"/>
          <w:szCs w:val="30"/>
        </w:rPr>
        <w:t>语调的运用正确，</w:t>
      </w:r>
      <w:r>
        <w:rPr>
          <w:rFonts w:hint="eastAsia" w:ascii="仿宋_GB2312" w:hAnsi="仿宋_GB2312" w:eastAsia="仿宋_GB2312" w:cs="仿宋_GB2312"/>
          <w:color w:val="auto"/>
          <w:sz w:val="30"/>
          <w:szCs w:val="30"/>
        </w:rPr>
        <w:t>顿连、</w:t>
      </w:r>
      <w:r>
        <w:rPr>
          <w:rFonts w:hint="eastAsia" w:ascii="仿宋_GB2312" w:hAnsi="仿宋_GB2312" w:eastAsia="仿宋_GB2312" w:cs="仿宋_GB2312"/>
          <w:bCs/>
          <w:color w:val="auto"/>
          <w:sz w:val="30"/>
          <w:szCs w:val="30"/>
        </w:rPr>
        <w:t>重音、节奏的运用恰当</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3.有感情</w:t>
      </w:r>
    </w:p>
    <w:p>
      <w:pPr>
        <w:spacing w:line="360" w:lineRule="auto"/>
        <w:ind w:firstLine="602" w:firstLineChars="200"/>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二等（75–85分）</w:t>
      </w:r>
    </w:p>
    <w:p>
      <w:pPr>
        <w:spacing w:line="360" w:lineRule="auto"/>
        <w:ind w:firstLine="600" w:firstLineChars="200"/>
        <w:rPr>
          <w:rFonts w:hint="eastAsia" w:ascii="仿宋_GB2312" w:hAnsi="仿宋_GB2312" w:eastAsia="仿宋_GB2312" w:cs="仿宋_GB2312"/>
          <w:bCs/>
          <w:color w:val="auto"/>
          <w:sz w:val="30"/>
          <w:szCs w:val="30"/>
        </w:rPr>
      </w:pPr>
      <w:r>
        <w:rPr>
          <w:rFonts w:hint="eastAsia" w:ascii="仿宋_GB2312" w:hAnsi="仿宋_GB2312" w:eastAsia="仿宋_GB2312" w:cs="仿宋_GB2312"/>
          <w:bCs/>
          <w:color w:val="auto"/>
          <w:sz w:val="30"/>
          <w:szCs w:val="30"/>
        </w:rPr>
        <w:t>1.不丢字，不添字，不改字，不错读字音。读得连贯自然，不结巴、不重复。</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2．语音基本标准，</w:t>
      </w:r>
      <w:r>
        <w:rPr>
          <w:rFonts w:hint="eastAsia" w:ascii="仿宋_GB2312" w:hAnsi="仿宋_GB2312" w:eastAsia="仿宋_GB2312" w:cs="仿宋_GB2312"/>
          <w:bCs/>
          <w:color w:val="auto"/>
          <w:sz w:val="30"/>
          <w:szCs w:val="30"/>
        </w:rPr>
        <w:t>语调的运用基本正确，</w:t>
      </w:r>
      <w:r>
        <w:rPr>
          <w:rFonts w:hint="eastAsia" w:ascii="仿宋_GB2312" w:hAnsi="仿宋_GB2312" w:eastAsia="仿宋_GB2312" w:cs="仿宋_GB2312"/>
          <w:color w:val="auto"/>
          <w:sz w:val="30"/>
          <w:szCs w:val="30"/>
        </w:rPr>
        <w:t>顿连、</w:t>
      </w:r>
      <w:r>
        <w:rPr>
          <w:rFonts w:hint="eastAsia" w:ascii="仿宋_GB2312" w:hAnsi="仿宋_GB2312" w:eastAsia="仿宋_GB2312" w:cs="仿宋_GB2312"/>
          <w:bCs/>
          <w:color w:val="auto"/>
          <w:sz w:val="30"/>
          <w:szCs w:val="30"/>
        </w:rPr>
        <w:t>重音、节奏的运用基本恰当</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bCs/>
          <w:color w:val="auto"/>
          <w:sz w:val="30"/>
          <w:szCs w:val="30"/>
        </w:rPr>
        <w:t>3.感情基本把握较好</w:t>
      </w:r>
    </w:p>
    <w:p>
      <w:pPr>
        <w:spacing w:line="360" w:lineRule="auto"/>
        <w:ind w:firstLine="602" w:firstLineChars="200"/>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 xml:space="preserve">三等  （60—75）    </w:t>
      </w:r>
    </w:p>
    <w:p>
      <w:pPr>
        <w:spacing w:line="360" w:lineRule="auto"/>
        <w:ind w:firstLine="600" w:firstLineChars="200"/>
        <w:rPr>
          <w:rFonts w:hint="eastAsia" w:ascii="仿宋_GB2312" w:hAnsi="仿宋_GB2312" w:eastAsia="仿宋_GB2312" w:cs="仿宋_GB2312"/>
          <w:bCs/>
          <w:color w:val="auto"/>
          <w:sz w:val="30"/>
          <w:szCs w:val="30"/>
        </w:rPr>
      </w:pPr>
      <w:r>
        <w:rPr>
          <w:rFonts w:hint="eastAsia" w:ascii="仿宋_GB2312" w:hAnsi="仿宋_GB2312" w:eastAsia="仿宋_GB2312" w:cs="仿宋_GB2312"/>
          <w:bCs/>
          <w:color w:val="auto"/>
          <w:sz w:val="30"/>
          <w:szCs w:val="30"/>
        </w:rPr>
        <w:t>1.偶尔出现丢字，添字，改字，错读字音的现象。偶尔读得不够连贯自然，结巴、重复。</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2.有比较明显的方言语音，</w:t>
      </w:r>
      <w:r>
        <w:rPr>
          <w:rFonts w:hint="eastAsia" w:ascii="仿宋_GB2312" w:hAnsi="仿宋_GB2312" w:eastAsia="仿宋_GB2312" w:cs="仿宋_GB2312"/>
          <w:bCs/>
          <w:color w:val="auto"/>
          <w:sz w:val="30"/>
          <w:szCs w:val="30"/>
        </w:rPr>
        <w:t>语调的运用偶尔不够正确，</w:t>
      </w:r>
      <w:r>
        <w:rPr>
          <w:rFonts w:hint="eastAsia" w:ascii="仿宋_GB2312" w:hAnsi="仿宋_GB2312" w:eastAsia="仿宋_GB2312" w:cs="仿宋_GB2312"/>
          <w:color w:val="auto"/>
          <w:sz w:val="30"/>
          <w:szCs w:val="30"/>
        </w:rPr>
        <w:t>顿连、</w:t>
      </w:r>
      <w:r>
        <w:rPr>
          <w:rFonts w:hint="eastAsia" w:ascii="仿宋_GB2312" w:hAnsi="仿宋_GB2312" w:eastAsia="仿宋_GB2312" w:cs="仿宋_GB2312"/>
          <w:bCs/>
          <w:color w:val="auto"/>
          <w:sz w:val="30"/>
          <w:szCs w:val="30"/>
        </w:rPr>
        <w:t>重音、节奏的运用偶然出现失误</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bCs/>
          <w:color w:val="auto"/>
          <w:sz w:val="30"/>
          <w:szCs w:val="30"/>
        </w:rPr>
        <w:t>3.感情基本把握较好</w:t>
      </w:r>
    </w:p>
    <w:p>
      <w:pPr>
        <w:spacing w:line="360" w:lineRule="auto"/>
        <w:ind w:firstLine="602" w:firstLineChars="200"/>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四等  （60分以下）</w:t>
      </w:r>
    </w:p>
    <w:p>
      <w:pPr>
        <w:spacing w:line="360" w:lineRule="auto"/>
        <w:ind w:firstLine="600" w:firstLineChars="200"/>
        <w:rPr>
          <w:rFonts w:hint="eastAsia" w:ascii="仿宋_GB2312" w:hAnsi="仿宋_GB2312" w:eastAsia="仿宋_GB2312" w:cs="仿宋_GB2312"/>
          <w:bCs/>
          <w:color w:val="auto"/>
          <w:sz w:val="30"/>
          <w:szCs w:val="30"/>
        </w:rPr>
      </w:pPr>
      <w:r>
        <w:rPr>
          <w:rFonts w:hint="eastAsia" w:ascii="仿宋_GB2312" w:hAnsi="仿宋_GB2312" w:eastAsia="仿宋_GB2312" w:cs="仿宋_GB2312"/>
          <w:bCs/>
          <w:color w:val="auto"/>
          <w:sz w:val="30"/>
          <w:szCs w:val="30"/>
        </w:rPr>
        <w:t>1.出现丢字，添字，改字，错读字音的现象比较多。读得不够连贯自然，结巴、重复。</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2.方言语音明显，</w:t>
      </w:r>
      <w:r>
        <w:rPr>
          <w:rFonts w:hint="eastAsia" w:ascii="仿宋_GB2312" w:hAnsi="仿宋_GB2312" w:eastAsia="仿宋_GB2312" w:cs="仿宋_GB2312"/>
          <w:bCs/>
          <w:color w:val="auto"/>
          <w:sz w:val="30"/>
          <w:szCs w:val="30"/>
        </w:rPr>
        <w:t>语调的运用不够正确，</w:t>
      </w:r>
      <w:r>
        <w:rPr>
          <w:rFonts w:hint="eastAsia" w:ascii="仿宋_GB2312" w:hAnsi="仿宋_GB2312" w:eastAsia="仿宋_GB2312" w:cs="仿宋_GB2312"/>
          <w:color w:val="auto"/>
          <w:sz w:val="30"/>
          <w:szCs w:val="30"/>
        </w:rPr>
        <w:t>顿连、</w:t>
      </w:r>
      <w:r>
        <w:rPr>
          <w:rFonts w:hint="eastAsia" w:ascii="仿宋_GB2312" w:hAnsi="仿宋_GB2312" w:eastAsia="仿宋_GB2312" w:cs="仿宋_GB2312"/>
          <w:bCs/>
          <w:color w:val="auto"/>
          <w:sz w:val="30"/>
          <w:szCs w:val="30"/>
        </w:rPr>
        <w:t>重音、节奏的运用出现失误较多。</w:t>
      </w:r>
    </w:p>
    <w:p>
      <w:pPr>
        <w:spacing w:line="360" w:lineRule="auto"/>
        <w:ind w:firstLine="600" w:firstLineChars="200"/>
        <w:rPr>
          <w:rFonts w:hint="eastAsia" w:ascii="仿宋_GB2312" w:hAnsi="仿宋_GB2312" w:eastAsia="仿宋_GB2312" w:cs="仿宋_GB2312"/>
          <w:bCs/>
          <w:color w:val="auto"/>
          <w:sz w:val="30"/>
          <w:szCs w:val="30"/>
        </w:rPr>
      </w:pPr>
      <w:r>
        <w:rPr>
          <w:rFonts w:hint="eastAsia" w:ascii="仿宋_GB2312" w:hAnsi="仿宋_GB2312" w:eastAsia="仿宋_GB2312" w:cs="仿宋_GB2312"/>
          <w:bCs/>
          <w:color w:val="auto"/>
          <w:sz w:val="30"/>
          <w:szCs w:val="30"/>
        </w:rPr>
        <w:t>3.平淡无感情。</w:t>
      </w:r>
    </w:p>
    <w:p>
      <w:pPr>
        <w:spacing w:line="360" w:lineRule="auto"/>
        <w:ind w:firstLine="602" w:firstLineChars="200"/>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考核结果</w:t>
      </w:r>
    </w:p>
    <w:p>
      <w:pPr>
        <w:spacing w:line="360" w:lineRule="auto"/>
        <w:ind w:firstLine="600" w:firstLineChars="200"/>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考核实行百分制，考核结束后根据综合得分限额择优录取，未达到60分者，不予录取。</w:t>
      </w:r>
    </w:p>
    <w:p>
      <w:pPr>
        <w:spacing w:line="360" w:lineRule="auto"/>
        <w:jc w:val="center"/>
        <w:rPr>
          <w:rFonts w:hint="eastAsia" w:ascii="仿宋_GB2312" w:hAnsi="仿宋_GB2312" w:eastAsia="仿宋_GB2312" w:cs="仿宋_GB2312"/>
          <w:b/>
          <w:color w:val="auto"/>
          <w:sz w:val="30"/>
          <w:szCs w:val="30"/>
        </w:rPr>
      </w:pPr>
    </w:p>
    <w:p>
      <w:pPr>
        <w:spacing w:line="360" w:lineRule="auto"/>
        <w:jc w:val="center"/>
        <w:rPr>
          <w:rFonts w:hint="eastAsia" w:ascii="仿宋_GB2312" w:hAnsi="仿宋_GB2312" w:eastAsia="仿宋_GB2312" w:cs="仿宋_GB2312"/>
          <w:b/>
          <w:color w:val="auto"/>
          <w:sz w:val="30"/>
          <w:szCs w:val="30"/>
        </w:rPr>
      </w:pPr>
    </w:p>
    <w:p>
      <w:pPr>
        <w:spacing w:line="360" w:lineRule="auto"/>
        <w:jc w:val="center"/>
        <w:rPr>
          <w:rFonts w:hint="eastAsia" w:ascii="仿宋_GB2312" w:hAnsi="仿宋_GB2312" w:eastAsia="仿宋_GB2312" w:cs="仿宋_GB2312"/>
          <w:b/>
          <w:color w:val="auto"/>
          <w:sz w:val="30"/>
          <w:szCs w:val="30"/>
        </w:rPr>
      </w:pPr>
    </w:p>
    <w:p>
      <w:pPr>
        <w:spacing w:line="360" w:lineRule="auto"/>
        <w:jc w:val="center"/>
        <w:rPr>
          <w:rFonts w:hint="eastAsia" w:ascii="仿宋_GB2312" w:hAnsi="仿宋_GB2312" w:eastAsia="仿宋_GB2312" w:cs="仿宋_GB2312"/>
          <w:b/>
          <w:color w:val="auto"/>
          <w:sz w:val="30"/>
          <w:szCs w:val="30"/>
        </w:rPr>
      </w:pPr>
    </w:p>
    <w:p>
      <w:pPr>
        <w:spacing w:line="360" w:lineRule="auto"/>
        <w:jc w:val="center"/>
        <w:rPr>
          <w:rFonts w:hint="eastAsia" w:ascii="仿宋_GB2312" w:hAnsi="仿宋_GB2312" w:eastAsia="仿宋_GB2312" w:cs="仿宋_GB2312"/>
          <w:b/>
          <w:color w:val="auto"/>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zZDY4NDkxZGQ5OTQ4MGJkMzJkMWYyNWExYTE3MWMifQ=="/>
  </w:docVars>
  <w:rsids>
    <w:rsidRoot w:val="00197E70"/>
    <w:rsid w:val="00016AE8"/>
    <w:rsid w:val="00017CBE"/>
    <w:rsid w:val="00041C9A"/>
    <w:rsid w:val="00052A2D"/>
    <w:rsid w:val="000747E2"/>
    <w:rsid w:val="00083763"/>
    <w:rsid w:val="000A4196"/>
    <w:rsid w:val="000A746E"/>
    <w:rsid w:val="000E3714"/>
    <w:rsid w:val="00147104"/>
    <w:rsid w:val="00174D12"/>
    <w:rsid w:val="00197E70"/>
    <w:rsid w:val="001F750C"/>
    <w:rsid w:val="00216E24"/>
    <w:rsid w:val="00222F2B"/>
    <w:rsid w:val="00274F4E"/>
    <w:rsid w:val="00286A2C"/>
    <w:rsid w:val="002978C6"/>
    <w:rsid w:val="00327134"/>
    <w:rsid w:val="00327440"/>
    <w:rsid w:val="003537E3"/>
    <w:rsid w:val="003A526B"/>
    <w:rsid w:val="003A71D5"/>
    <w:rsid w:val="003D0EA1"/>
    <w:rsid w:val="0040205A"/>
    <w:rsid w:val="00444ADB"/>
    <w:rsid w:val="00446119"/>
    <w:rsid w:val="00446CC4"/>
    <w:rsid w:val="0048536F"/>
    <w:rsid w:val="004C562F"/>
    <w:rsid w:val="005010B0"/>
    <w:rsid w:val="00524C80"/>
    <w:rsid w:val="00531B7B"/>
    <w:rsid w:val="005E6DFB"/>
    <w:rsid w:val="006357EE"/>
    <w:rsid w:val="006420F6"/>
    <w:rsid w:val="00651A13"/>
    <w:rsid w:val="00685A97"/>
    <w:rsid w:val="006F2CE0"/>
    <w:rsid w:val="00703614"/>
    <w:rsid w:val="007275BE"/>
    <w:rsid w:val="00740BA0"/>
    <w:rsid w:val="00754343"/>
    <w:rsid w:val="00756B96"/>
    <w:rsid w:val="00767FB8"/>
    <w:rsid w:val="0078356F"/>
    <w:rsid w:val="007852CB"/>
    <w:rsid w:val="007A6C74"/>
    <w:rsid w:val="007B5055"/>
    <w:rsid w:val="00837CB0"/>
    <w:rsid w:val="0088162E"/>
    <w:rsid w:val="0089395D"/>
    <w:rsid w:val="008B3C54"/>
    <w:rsid w:val="008D23BF"/>
    <w:rsid w:val="008E3C1A"/>
    <w:rsid w:val="008F0EAD"/>
    <w:rsid w:val="00973853"/>
    <w:rsid w:val="00992583"/>
    <w:rsid w:val="00993572"/>
    <w:rsid w:val="009B428E"/>
    <w:rsid w:val="009E4034"/>
    <w:rsid w:val="009F6E49"/>
    <w:rsid w:val="00A0716C"/>
    <w:rsid w:val="00A74229"/>
    <w:rsid w:val="00AD15B9"/>
    <w:rsid w:val="00AF5D9A"/>
    <w:rsid w:val="00B004CC"/>
    <w:rsid w:val="00B178B2"/>
    <w:rsid w:val="00B26F81"/>
    <w:rsid w:val="00BC7A20"/>
    <w:rsid w:val="00C11430"/>
    <w:rsid w:val="00C514A7"/>
    <w:rsid w:val="00C8749D"/>
    <w:rsid w:val="00C917E7"/>
    <w:rsid w:val="00CB2034"/>
    <w:rsid w:val="00CC0662"/>
    <w:rsid w:val="00D43B4F"/>
    <w:rsid w:val="00D62501"/>
    <w:rsid w:val="00D9480E"/>
    <w:rsid w:val="00DB7AE9"/>
    <w:rsid w:val="00DE21A9"/>
    <w:rsid w:val="00E01775"/>
    <w:rsid w:val="00E14091"/>
    <w:rsid w:val="00E25FD2"/>
    <w:rsid w:val="00E354C3"/>
    <w:rsid w:val="00E47BFA"/>
    <w:rsid w:val="00E834D3"/>
    <w:rsid w:val="00EA7A18"/>
    <w:rsid w:val="00EB5BD3"/>
    <w:rsid w:val="00EC0F3A"/>
    <w:rsid w:val="00ED0160"/>
    <w:rsid w:val="00EF2AC0"/>
    <w:rsid w:val="00F03A7C"/>
    <w:rsid w:val="00F25035"/>
    <w:rsid w:val="00F60C81"/>
    <w:rsid w:val="00F76831"/>
    <w:rsid w:val="00F77909"/>
    <w:rsid w:val="00FA5FCB"/>
    <w:rsid w:val="027A4664"/>
    <w:rsid w:val="0BBA4022"/>
    <w:rsid w:val="0C5C6D8C"/>
    <w:rsid w:val="0D0A1621"/>
    <w:rsid w:val="0DC417F0"/>
    <w:rsid w:val="0FD2633E"/>
    <w:rsid w:val="11D258BB"/>
    <w:rsid w:val="1286466A"/>
    <w:rsid w:val="1410366A"/>
    <w:rsid w:val="16776469"/>
    <w:rsid w:val="183C3835"/>
    <w:rsid w:val="215C658C"/>
    <w:rsid w:val="23C9113D"/>
    <w:rsid w:val="2482720E"/>
    <w:rsid w:val="24C32C0E"/>
    <w:rsid w:val="266475A9"/>
    <w:rsid w:val="29F7022B"/>
    <w:rsid w:val="2BC42833"/>
    <w:rsid w:val="2C196DE2"/>
    <w:rsid w:val="2CD07D87"/>
    <w:rsid w:val="2E5A7C1E"/>
    <w:rsid w:val="2F7949D1"/>
    <w:rsid w:val="2F891455"/>
    <w:rsid w:val="2FF84472"/>
    <w:rsid w:val="32835563"/>
    <w:rsid w:val="33BB333A"/>
    <w:rsid w:val="357375D4"/>
    <w:rsid w:val="3DA558EC"/>
    <w:rsid w:val="3E1E64E2"/>
    <w:rsid w:val="3E8B66A9"/>
    <w:rsid w:val="40F945CE"/>
    <w:rsid w:val="416E3EB2"/>
    <w:rsid w:val="42486F31"/>
    <w:rsid w:val="42D41031"/>
    <w:rsid w:val="4625597F"/>
    <w:rsid w:val="48817A46"/>
    <w:rsid w:val="4D4E298B"/>
    <w:rsid w:val="4F8A557B"/>
    <w:rsid w:val="510E1F5D"/>
    <w:rsid w:val="514276AC"/>
    <w:rsid w:val="51C52D81"/>
    <w:rsid w:val="534E66DB"/>
    <w:rsid w:val="543C6E24"/>
    <w:rsid w:val="54ED0C26"/>
    <w:rsid w:val="59124CB2"/>
    <w:rsid w:val="5A93500C"/>
    <w:rsid w:val="5AFF1FE1"/>
    <w:rsid w:val="602F3142"/>
    <w:rsid w:val="607811CC"/>
    <w:rsid w:val="60ED3950"/>
    <w:rsid w:val="62412368"/>
    <w:rsid w:val="63DB77FD"/>
    <w:rsid w:val="64D70D63"/>
    <w:rsid w:val="68072C7D"/>
    <w:rsid w:val="6B135267"/>
    <w:rsid w:val="6BC862FF"/>
    <w:rsid w:val="6BCE69CD"/>
    <w:rsid w:val="6E270C60"/>
    <w:rsid w:val="6FF065E4"/>
    <w:rsid w:val="70893949"/>
    <w:rsid w:val="735A2EF0"/>
    <w:rsid w:val="74155C0E"/>
    <w:rsid w:val="742120DD"/>
    <w:rsid w:val="75B71AF4"/>
    <w:rsid w:val="77A2505B"/>
    <w:rsid w:val="79176B9D"/>
    <w:rsid w:val="79CD0B5D"/>
    <w:rsid w:val="79D258F0"/>
    <w:rsid w:val="7AC155D3"/>
    <w:rsid w:val="7FC57A03"/>
    <w:rsid w:val="7FC7338E"/>
    <w:rsid w:val="7FFE732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Lines="50" w:afterLines="50"/>
      <w:jc w:val="center"/>
      <w:outlineLvl w:val="0"/>
    </w:pPr>
    <w:rPr>
      <w:rFonts w:eastAsia="黑体"/>
      <w:bCs/>
      <w:kern w:val="44"/>
      <w:sz w:val="32"/>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1"/>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bCs/>
    </w:rPr>
  </w:style>
  <w:style w:type="character" w:styleId="10">
    <w:name w:val="page number"/>
    <w:basedOn w:val="8"/>
    <w:qFormat/>
    <w:uiPriority w:val="0"/>
  </w:style>
  <w:style w:type="character" w:customStyle="1" w:styleId="11">
    <w:name w:val="批注框文本 字符"/>
    <w:basedOn w:val="8"/>
    <w:link w:val="3"/>
    <w:qFormat/>
    <w:uiPriority w:val="0"/>
    <w:rPr>
      <w:kern w:val="2"/>
      <w:sz w:val="18"/>
      <w:szCs w:val="18"/>
    </w:rPr>
  </w:style>
  <w:style w:type="paragraph" w:customStyle="1" w:styleId="12">
    <w:name w:val="默认段落字体 Para Char"/>
    <w:basedOn w:val="1"/>
    <w:qFormat/>
    <w:uiPriority w:val="0"/>
    <w:pPr>
      <w:spacing w:line="360" w:lineRule="auto"/>
      <w:ind w:firstLine="200" w:firstLineChars="200"/>
    </w:pPr>
    <w:rPr>
      <w:rFonts w:ascii="宋体" w:hAnsi="宋体" w:cs="宋体"/>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4739</Words>
  <Characters>4972</Characters>
  <Lines>28</Lines>
  <Paragraphs>7</Paragraphs>
  <TotalTime>61</TotalTime>
  <ScaleCrop>false</ScaleCrop>
  <LinksUpToDate>false</LinksUpToDate>
  <CharactersWithSpaces>5134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2022-05-13T03:05:00Z</dcterms:created>
  <dc:creator>Administrator</dc:creator>
  <cp:lastModifiedBy>洁</cp:lastModifiedBy>
  <cp:lastPrinted>2021-05-11T01:13:00Z</cp:lastPrinted>
  <dcterms:modified xsi:type="dcterms:W3CDTF">2022-11-29T02:34:15Z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B3E65F39F77A4D648C42F0236317AEC5</vt:lpwstr>
  </property>
</Properties>
</file>