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E7E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附件4：</w:t>
      </w:r>
      <w:bookmarkStart w:id="0" w:name="_GoBack"/>
      <w:bookmarkEnd w:id="0"/>
    </w:p>
    <w:p w14:paraId="6B004C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kern w:val="0"/>
          <w:sz w:val="21"/>
          <w:szCs w:val="21"/>
          <w:lang w:val="en-US" w:eastAsia="zh-CN" w:bidi="ar"/>
        </w:rPr>
      </w:pPr>
    </w:p>
    <w:p w14:paraId="776673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福建省大学生创新创业训练计划平台</w:t>
      </w:r>
    </w:p>
    <w:p w14:paraId="770695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操作指南</w:t>
      </w:r>
    </w:p>
    <w:p w14:paraId="29D6C6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一、平台登录</w:t>
      </w:r>
    </w:p>
    <w:p w14:paraId="1A9586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1.学生登录</w:t>
      </w:r>
    </w:p>
    <w:p w14:paraId="0B2435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访问</w:t>
      </w:r>
      <w:r>
        <w:rPr>
          <w:rFonts w:hint="eastAsia" w:ascii="仿宋" w:hAnsi="仿宋" w:eastAsia="仿宋" w:cs="仿宋"/>
          <w:sz w:val="32"/>
          <w:szCs w:val="32"/>
        </w:rPr>
        <w:t>网址</w:t>
      </w:r>
      <w:r>
        <w:rPr>
          <w:rFonts w:hint="default" w:ascii="Times New Roman" w:hAnsi="Times New Roman" w:eastAsia="仿宋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" w:cs="Times New Roman"/>
          <w:sz w:val="32"/>
          <w:szCs w:val="32"/>
        </w:rPr>
        <w:instrText xml:space="preserve"> HYPERLINK "http://114.220.75.43:93/fjcxcy/index" </w:instrText>
      </w:r>
      <w:r>
        <w:rPr>
          <w:rFonts w:hint="default" w:ascii="Times New Roman" w:hAnsi="Times New Roman" w:eastAsia="仿宋" w:cs="Times New Roman"/>
          <w:sz w:val="32"/>
          <w:szCs w:val="32"/>
        </w:rPr>
        <w:fldChar w:fldCharType="separate"/>
      </w:r>
      <w:r>
        <w:rPr>
          <w:rStyle w:val="8"/>
          <w:rFonts w:hint="default" w:ascii="Times New Roman" w:hAnsi="Times New Roman" w:eastAsia="仿宋" w:cs="Times New Roman"/>
          <w:sz w:val="32"/>
          <w:szCs w:val="32"/>
        </w:rPr>
        <w:t>http://114.220.75.43:93/fjcxcy/index</w:t>
      </w:r>
      <w:r>
        <w:rPr>
          <w:rStyle w:val="8"/>
          <w:rFonts w:hint="default" w:ascii="Times New Roman" w:hAnsi="Times New Roman" w:eastAsia="仿宋" w:cs="Times New Roman"/>
          <w:sz w:val="32"/>
          <w:szCs w:val="32"/>
        </w:rPr>
        <w:fldChar w:fldCharType="end"/>
      </w:r>
      <w:r>
        <w:rPr>
          <w:rFonts w:hint="eastAsia" w:ascii="仿宋" w:hAnsi="仿宋" w:eastAsia="仿宋" w:cs="仿宋"/>
          <w:sz w:val="32"/>
          <w:szCs w:val="32"/>
        </w:rPr>
        <w:t>，选择“学生登录”模块，下拉选择高校，使用学校分配的账号（一般为学号）和默认密码（格式为：账号@cxcy）及验证码登录。</w:t>
      </w:r>
    </w:p>
    <w:p w14:paraId="527ABA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2272030</wp:posOffset>
            </wp:positionV>
            <wp:extent cx="2286635" cy="2470785"/>
            <wp:effectExtent l="0" t="0" r="18415" b="5715"/>
            <wp:wrapTopAndBottom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247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132080</wp:posOffset>
            </wp:positionV>
            <wp:extent cx="4678045" cy="2197735"/>
            <wp:effectExtent l="0" t="0" r="8255" b="1206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8045" cy="219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2.教师登录</w:t>
      </w:r>
    </w:p>
    <w:p w14:paraId="6983B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访问同一网址，选择“学校登录”模块，后续流程同上，使用学校分配的账号（一般为工号）及默认密码（格式为：账号@cxcy）登录。</w:t>
      </w:r>
    </w:p>
    <w:p w14:paraId="60F609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color w:val="FF0000"/>
          <w:sz w:val="28"/>
          <w:szCs w:val="28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340995</wp:posOffset>
            </wp:positionH>
            <wp:positionV relativeFrom="paragraph">
              <wp:posOffset>-113665</wp:posOffset>
            </wp:positionV>
            <wp:extent cx="2756535" cy="2478405"/>
            <wp:effectExtent l="0" t="0" r="5715" b="17145"/>
            <wp:wrapTopAndBottom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6535" cy="247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3.密码找回</w:t>
      </w:r>
    </w:p>
    <w:p w14:paraId="7217FA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若默认密码无法登录且自助找回失败，请在“明院大学生创新训练计划（2025）”微信群中留言，格式为“@管理员+学号/工号+姓名”。管理员核实后将及时处理。</w:t>
      </w:r>
    </w:p>
    <w:p w14:paraId="005059F2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中期检查</w:t>
      </w:r>
    </w:p>
    <w:p w14:paraId="34B351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1.学生提交</w:t>
      </w:r>
    </w:p>
    <w:p w14:paraId="286737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登录平台后，点击【中期检查管理】-&gt;【填写中期检查】，点击“+”按钮填写报告。可“暂存”修改，一经提交则进入指导教师审核流程，需指导教师退回后才能修改。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提交截止时间：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立项次年6月30日之前。</w:t>
      </w:r>
    </w:p>
    <w:p w14:paraId="01CD3C13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5" w:leftChars="0"/>
        <w:textAlignment w:val="auto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136525</wp:posOffset>
            </wp:positionH>
            <wp:positionV relativeFrom="paragraph">
              <wp:posOffset>80010</wp:posOffset>
            </wp:positionV>
            <wp:extent cx="5269230" cy="2411095"/>
            <wp:effectExtent l="0" t="0" r="7620" b="8255"/>
            <wp:wrapTopAndBottom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2.教师审核</w:t>
      </w:r>
    </w:p>
    <w:p w14:paraId="12A45E30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指导教师登录平台进行审核。审核通过后，进入到高校审核环节，待高校审核通过，项目状态将变成“高校审核中期检查通过”。如中期检查还需修改，教师可以执行退回操作。</w:t>
      </w:r>
    </w:p>
    <w:p w14:paraId="0A467699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74295</wp:posOffset>
            </wp:positionV>
            <wp:extent cx="5274310" cy="2010410"/>
            <wp:effectExtent l="0" t="0" r="2540" b="889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三、结题管理</w:t>
      </w:r>
    </w:p>
    <w:p w14:paraId="6583C3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基本流程为：学生提交结题报告→指导教师审核→高校管理员审核→省厅管理员审核。</w:t>
      </w:r>
    </w:p>
    <w:p w14:paraId="11ADEA69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5" w:leftChars="0"/>
        <w:textAlignment w:val="auto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1.学生提交</w:t>
      </w:r>
    </w:p>
    <w:p w14:paraId="5BB37B88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 w:firstLineChars="3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1012825</wp:posOffset>
            </wp:positionH>
            <wp:positionV relativeFrom="paragraph">
              <wp:posOffset>1229360</wp:posOffset>
            </wp:positionV>
            <wp:extent cx="3020060" cy="2043430"/>
            <wp:effectExtent l="0" t="0" r="8890" b="13970"/>
            <wp:wrapTopAndBottom/>
            <wp:docPr id="12" name="图片 12" descr="结题——指导老师审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结题——指导老师审核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中期检查通过后，学生可登录系统点击【结题管理】-&gt;【填写结题报告】，点击“+”按钮填写。支持“暂存”修改，提交后进入到指导教师审核环节，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需指导教师执行退回操作后才能修改。</w:t>
      </w:r>
    </w:p>
    <w:p w14:paraId="5C174DEF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5" w:leftChars="0"/>
        <w:textAlignment w:val="auto"/>
        <w:rPr>
          <w:rFonts w:hint="default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2.教师审核</w:t>
      </w:r>
    </w:p>
    <w:p w14:paraId="5352B506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指导教师登录平台审核结题报告，可执行“通过”或“退回”操作。完成结题报告审核后，进入到高校审核环节。</w:t>
      </w:r>
    </w:p>
    <w:p w14:paraId="37B0E262">
      <w:pPr>
        <w:pStyle w:val="1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项目变更申请</w:t>
      </w:r>
    </w:p>
    <w:p w14:paraId="382F9F8E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所有变更均需遵循“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先线下审批，后线上提交”的原则。</w:t>
      </w:r>
    </w:p>
    <w:p w14:paraId="2B2AE9E0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5" w:leftChars="0"/>
        <w:textAlignment w:val="auto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1.学院审批</w:t>
      </w:r>
    </w:p>
    <w:p w14:paraId="14E39225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项目负责人须填写《项目变更申请表》（附件3），经指导教师签字同意、学院领导审批签字并盖章后，将纸质申请表扫描成PDF文件。原件由学院留存备查。</w:t>
      </w:r>
    </w:p>
    <w:p w14:paraId="3A3BAA16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特别说明：项目立项后，原则上不允许随意变更负责人及成员。如确因不可抗力等特殊原因需要变更，须在申请中充分说明理由。</w:t>
      </w:r>
    </w:p>
    <w:p w14:paraId="129EDA3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5" w:leftChars="0"/>
        <w:textAlignment w:val="auto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2.平台提交</w:t>
      </w:r>
    </w:p>
    <w:p w14:paraId="1D29CFE1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使用原项目负责人账号登录平台，根据变更类型选择相应菜单提交申请，并上传已审批的《项目变更申请表》扫描件。</w:t>
      </w:r>
    </w:p>
    <w:p w14:paraId="0F90A4BF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（1）提前结题：点击【提前结题申请】-&gt;【提交提前结题申请】</w:t>
      </w:r>
    </w:p>
    <w:p w14:paraId="3125C811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699135</wp:posOffset>
            </wp:positionH>
            <wp:positionV relativeFrom="paragraph">
              <wp:posOffset>139065</wp:posOffset>
            </wp:positionV>
            <wp:extent cx="3087370" cy="1412875"/>
            <wp:effectExtent l="0" t="0" r="17780" b="15875"/>
            <wp:wrapTopAndBottom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87370" cy="141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（2）延期结题：点击【延期结题申请】-&gt;【提交延期结题申请】（注：延期申请仅限一次，时长一年）</w:t>
      </w:r>
    </w:p>
    <w:p w14:paraId="70296B70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（3）项目终止：点击【项目终止申请】-&gt;【提交项目终止申请】</w:t>
      </w:r>
    </w:p>
    <w:p w14:paraId="1EE59471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（4）人员变更：点击【项目变更申请】-&gt;【项目变更申报】，在申请页面可删除或添加成员，并填写变更原因。支持“暂存”，提交后不可修改。</w:t>
      </w:r>
    </w:p>
    <w:p w14:paraId="6EB2701B">
      <w:pPr>
        <w:rPr>
          <w:rFonts w:hint="eastAsia"/>
        </w:rPr>
      </w:pPr>
      <w:r>
        <w:drawing>
          <wp:inline distT="0" distB="0" distL="0" distR="0">
            <wp:extent cx="5090160" cy="2667000"/>
            <wp:effectExtent l="0" t="0" r="15240" b="0"/>
            <wp:docPr id="37383753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837536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339" r="3329"/>
                    <a:stretch>
                      <a:fillRect/>
                    </a:stretch>
                  </pic:blipFill>
                  <pic:spPr>
                    <a:xfrm>
                      <a:off x="0" y="0"/>
                      <a:ext cx="509016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E4D8B">
      <w:r>
        <w:rPr>
          <w:rFonts w:hint="eastAsia"/>
        </w:rPr>
        <w:drawing>
          <wp:inline distT="0" distB="0" distL="0" distR="0">
            <wp:extent cx="5265420" cy="2606040"/>
            <wp:effectExtent l="0" t="0" r="11430" b="3810"/>
            <wp:docPr id="42541464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414645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8F14D">
      <w:pPr>
        <w:jc w:val="left"/>
      </w:pPr>
      <w:r>
        <w:drawing>
          <wp:inline distT="0" distB="0" distL="0" distR="0">
            <wp:extent cx="3355975" cy="1937385"/>
            <wp:effectExtent l="0" t="0" r="15875" b="5715"/>
            <wp:docPr id="20890008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000819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55975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670560"/>
            <wp:effectExtent l="0" t="0" r="2540" b="15240"/>
            <wp:docPr id="7367141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71415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680FC">
      <w:pPr>
        <w:jc w:val="left"/>
      </w:pPr>
      <w:r>
        <w:drawing>
          <wp:inline distT="0" distB="0" distL="0" distR="0">
            <wp:extent cx="5097780" cy="3154045"/>
            <wp:effectExtent l="0" t="0" r="7620" b="8255"/>
            <wp:docPr id="15284735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47359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97780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2E4A0">
      <w:pPr>
        <w:jc w:val="left"/>
      </w:pPr>
    </w:p>
    <w:p w14:paraId="12C45D43">
      <w:pPr>
        <w:jc w:val="left"/>
        <w:rPr>
          <w:rFonts w:hint="eastAsia"/>
        </w:rPr>
      </w:pPr>
      <w:r>
        <w:drawing>
          <wp:inline distT="0" distB="0" distL="0" distR="0">
            <wp:extent cx="5274310" cy="3179445"/>
            <wp:effectExtent l="0" t="0" r="2540" b="1905"/>
            <wp:docPr id="16071100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11004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2ED18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</w:p>
    <w:p w14:paraId="64F4B18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firstLine="0" w:firstLineChars="0"/>
        <w:textAlignment w:val="auto"/>
        <w:rPr>
          <w:rFonts w:hint="eastAsia" w:ascii="仿宋" w:hAnsi="仿宋" w:eastAsia="仿宋" w:cs="仿宋"/>
          <w:color w:val="FF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60BC55"/>
    <w:multiLevelType w:val="singleLevel"/>
    <w:tmpl w:val="2760BC5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04"/>
    <w:rsid w:val="00593FB0"/>
    <w:rsid w:val="00AC4670"/>
    <w:rsid w:val="00B12D02"/>
    <w:rsid w:val="00B62882"/>
    <w:rsid w:val="00C778E6"/>
    <w:rsid w:val="00DD436B"/>
    <w:rsid w:val="00EF2704"/>
    <w:rsid w:val="029A2472"/>
    <w:rsid w:val="054B7FF9"/>
    <w:rsid w:val="08122176"/>
    <w:rsid w:val="0CE03143"/>
    <w:rsid w:val="0D62416F"/>
    <w:rsid w:val="0DF9709D"/>
    <w:rsid w:val="130A4F8B"/>
    <w:rsid w:val="145B0A5C"/>
    <w:rsid w:val="170934BA"/>
    <w:rsid w:val="19CF088F"/>
    <w:rsid w:val="1C6E525E"/>
    <w:rsid w:val="1D9B5BD3"/>
    <w:rsid w:val="1E293256"/>
    <w:rsid w:val="1E4E5D4E"/>
    <w:rsid w:val="1FE64A4D"/>
    <w:rsid w:val="20DA0F73"/>
    <w:rsid w:val="214C004F"/>
    <w:rsid w:val="220B6D01"/>
    <w:rsid w:val="23AB158F"/>
    <w:rsid w:val="24B00928"/>
    <w:rsid w:val="281E16AE"/>
    <w:rsid w:val="2851317F"/>
    <w:rsid w:val="291A306C"/>
    <w:rsid w:val="2A247DBB"/>
    <w:rsid w:val="2A881CEC"/>
    <w:rsid w:val="2B27706F"/>
    <w:rsid w:val="2CF858B1"/>
    <w:rsid w:val="3290011F"/>
    <w:rsid w:val="386939A0"/>
    <w:rsid w:val="38B17626"/>
    <w:rsid w:val="3A5D4E6A"/>
    <w:rsid w:val="3CF43033"/>
    <w:rsid w:val="3D25609B"/>
    <w:rsid w:val="3F6C6650"/>
    <w:rsid w:val="40F02292"/>
    <w:rsid w:val="410C5AF9"/>
    <w:rsid w:val="420A275E"/>
    <w:rsid w:val="42274495"/>
    <w:rsid w:val="43836691"/>
    <w:rsid w:val="43D85FCC"/>
    <w:rsid w:val="448E098C"/>
    <w:rsid w:val="45F424BE"/>
    <w:rsid w:val="46132641"/>
    <w:rsid w:val="47290367"/>
    <w:rsid w:val="495730EB"/>
    <w:rsid w:val="4ABB6733"/>
    <w:rsid w:val="4CDB7AC1"/>
    <w:rsid w:val="4E5E1678"/>
    <w:rsid w:val="4FDF2E6A"/>
    <w:rsid w:val="504A40F3"/>
    <w:rsid w:val="510A2276"/>
    <w:rsid w:val="52F71A82"/>
    <w:rsid w:val="55B6696B"/>
    <w:rsid w:val="57760E24"/>
    <w:rsid w:val="59913D84"/>
    <w:rsid w:val="59E2428B"/>
    <w:rsid w:val="5E624638"/>
    <w:rsid w:val="63890993"/>
    <w:rsid w:val="68BE0673"/>
    <w:rsid w:val="6B7043C1"/>
    <w:rsid w:val="71EF15F3"/>
    <w:rsid w:val="786E1181"/>
    <w:rsid w:val="78F72080"/>
    <w:rsid w:val="79E171E6"/>
    <w:rsid w:val="7A915D11"/>
    <w:rsid w:val="7AC17B83"/>
    <w:rsid w:val="7B450740"/>
    <w:rsid w:val="7E114B0F"/>
    <w:rsid w:val="7F16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HTML Code"/>
    <w:basedOn w:val="6"/>
    <w:semiHidden/>
    <w:unhideWhenUsed/>
    <w:qFormat/>
    <w:uiPriority w:val="99"/>
    <w:rPr>
      <w:rFonts w:ascii="Courier New" w:hAnsi="Courier New"/>
      <w:sz w:val="20"/>
    </w:rPr>
  </w:style>
  <w:style w:type="character" w:customStyle="1" w:styleId="10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2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996</Words>
  <Characters>1060</Characters>
  <Lines>1</Lines>
  <Paragraphs>1</Paragraphs>
  <TotalTime>4</TotalTime>
  <ScaleCrop>false</ScaleCrop>
  <LinksUpToDate>false</LinksUpToDate>
  <CharactersWithSpaces>1064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2025-04-25T07:17:00Z</dcterms:created>
  <dc:creator>圈 圈</dc:creator>
  <cp:lastModifiedBy>小米</cp:lastModifiedBy>
  <dcterms:modified xsi:type="dcterms:W3CDTF">2025-11-05T03:52:06Z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eyJoZGlkIjoiZDBmM2M2NmIyMTJkZjU3YWE4ODgxNmU2NzI3MDQ2MzYiLCJ1c2VySWQiOiI1NjE5MDM0MzkifQ==</vt:lpwstr>
  </property>
  <property fmtid="{D5CDD505-2E9C-101B-9397-08002B2CF9AE}" pid="3" name="KSOProductBuildVer">
    <vt:lpwstr>2052-12.1.0.23125</vt:lpwstr>
  </property>
  <property fmtid="{D5CDD505-2E9C-101B-9397-08002B2CF9AE}" pid="4" name="ICV">
    <vt:lpwstr>4DF2B7884B20440FAA8A8D67681742AD_12</vt:lpwstr>
  </property>
</Properties>
</file>