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/>
          <w:b/>
          <w:snapToGrid w:val="0"/>
          <w:color w:val="FF0000"/>
          <w:spacing w:val="-22"/>
          <w:sz w:val="90"/>
          <w:szCs w:val="90"/>
        </w:rPr>
      </w:pPr>
    </w:p>
    <w:p>
      <w:pPr>
        <w:jc w:val="center"/>
        <w:rPr>
          <w:rFonts w:hint="eastAsia" w:ascii="宋体" w:hAnsi="宋体"/>
          <w:b/>
          <w:snapToGrid w:val="0"/>
          <w:color w:val="FF0000"/>
          <w:spacing w:val="-22"/>
          <w:kern w:val="0"/>
          <w:sz w:val="90"/>
          <w:szCs w:val="90"/>
        </w:rPr>
      </w:pPr>
    </w:p>
    <w:p>
      <w:pPr>
        <w:jc w:val="center"/>
        <w:rPr>
          <w:rFonts w:hint="eastAsia" w:ascii="Bookman Old Style" w:hAnsi="Bookman Old Style"/>
          <w:b/>
          <w:color w:val="FF0000"/>
          <w:spacing w:val="-22"/>
          <w:w w:val="90"/>
          <w:sz w:val="100"/>
          <w:szCs w:val="100"/>
        </w:rPr>
      </w:pPr>
      <w:r>
        <w:rPr>
          <w:rFonts w:hint="eastAsia" w:ascii="宋体" w:hAnsi="宋体"/>
          <w:b/>
          <w:snapToGrid w:val="0"/>
          <w:color w:val="FF0000"/>
          <w:spacing w:val="-22"/>
          <w:kern w:val="0"/>
          <w:sz w:val="100"/>
          <w:szCs w:val="100"/>
        </w:rPr>
        <w:t>三明学院教务处文件</w:t>
      </w:r>
    </w:p>
    <w:p>
      <w:pPr>
        <w:spacing w:line="400" w:lineRule="exact"/>
        <w:rPr>
          <w:rFonts w:hint="eastAsia" w:ascii="仿宋_GB2312" w:hAnsi="宋体" w:eastAsia="仿宋_GB2312"/>
          <w:sz w:val="32"/>
          <w:szCs w:val="32"/>
        </w:rPr>
      </w:pPr>
    </w:p>
    <w:p>
      <w:pPr>
        <w:spacing w:line="400" w:lineRule="exact"/>
        <w:jc w:val="center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明</w:t>
      </w:r>
      <w:r>
        <w:rPr>
          <w:rFonts w:hint="eastAsia" w:ascii="仿宋_GB2312" w:hAnsi="宋体" w:eastAsia="仿宋_GB2312"/>
          <w:sz w:val="32"/>
          <w:szCs w:val="32"/>
          <w:lang w:val="en-US" w:eastAsia="zh-Hans"/>
        </w:rPr>
        <w:t>学院</w:t>
      </w:r>
      <w:r>
        <w:rPr>
          <w:rFonts w:hint="eastAsia" w:ascii="仿宋_GB2312" w:hAnsi="宋体" w:eastAsia="仿宋_GB2312"/>
          <w:sz w:val="32"/>
          <w:szCs w:val="32"/>
        </w:rPr>
        <w:t>教</w:t>
      </w:r>
      <w:r>
        <w:rPr>
          <w:rFonts w:hint="eastAsia" w:ascii="仿宋_GB2312" w:hAnsi="宋体" w:eastAsia="仿宋_GB2312"/>
          <w:sz w:val="32"/>
          <w:szCs w:val="32"/>
          <w:lang w:val="en-US" w:eastAsia="zh-Hans"/>
        </w:rPr>
        <w:t>字</w:t>
      </w:r>
      <w:r>
        <w:rPr>
          <w:rFonts w:hint="eastAsia" w:ascii="仿宋_GB2312" w:hAnsi="宋体" w:eastAsia="仿宋_GB2312"/>
          <w:sz w:val="32"/>
          <w:szCs w:val="32"/>
        </w:rPr>
        <w:t>〔20</w:t>
      </w:r>
      <w:r>
        <w:rPr>
          <w:rFonts w:hint="default" w:ascii="仿宋_GB2312" w:hAnsi="宋体" w:eastAsia="仿宋_GB2312"/>
          <w:sz w:val="32"/>
          <w:szCs w:val="32"/>
        </w:rPr>
        <w:t>22</w:t>
      </w:r>
      <w:r>
        <w:rPr>
          <w:rFonts w:hint="eastAsia" w:ascii="仿宋_GB2312" w:hAnsi="宋体" w:eastAsia="仿宋_GB2312"/>
          <w:sz w:val="32"/>
          <w:szCs w:val="32"/>
        </w:rPr>
        <w:t>〕</w:t>
      </w:r>
      <w:r>
        <w:rPr>
          <w:rFonts w:hint="default" w:ascii="仿宋_GB2312" w:hAnsi="宋体" w:eastAsia="仿宋_GB2312"/>
          <w:sz w:val="32"/>
          <w:szCs w:val="32"/>
        </w:rPr>
        <w:t>30</w:t>
      </w:r>
      <w:r>
        <w:rPr>
          <w:rFonts w:hint="eastAsia" w:ascii="仿宋_GB2312" w:hAnsi="宋体" w:eastAsia="仿宋_GB2312"/>
          <w:sz w:val="32"/>
          <w:szCs w:val="32"/>
        </w:rPr>
        <w:t>号</w:t>
      </w:r>
    </w:p>
    <w:p>
      <w:pPr>
        <w:spacing w:line="540" w:lineRule="exact"/>
        <w:rPr>
          <w:rFonts w:hint="eastAsia"/>
        </w:rPr>
      </w:pPr>
      <w:r>
        <w:rPr>
          <w:rFonts w:hint="eastAsia" w:ascii="仿宋_GB2312" w:hAnsi="宋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-17145</wp:posOffset>
                </wp:positionH>
                <wp:positionV relativeFrom="paragraph">
                  <wp:posOffset>185420</wp:posOffset>
                </wp:positionV>
                <wp:extent cx="5629275" cy="0"/>
                <wp:effectExtent l="0" t="19050" r="9525" b="3175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29275" cy="0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35pt;margin-top:14.6pt;height:0pt;width:443.25pt;z-index:251660288;mso-width-relative:page;mso-height-relative:page;" filled="f" stroked="t" coordsize="21600,21600" o:gfxdata="UEsFBgAAAAAAAAAAAAAAAAAAAAAAAFBLAwQKAAAAAACHTuJAAAAAAAAAAAAAAAAABAAAAGRycy9Q&#10;SwMEFAAAAAgAh07iQF3TsVrZAAAACAEAAA8AAABkcnMvZG93bnJldi54bWxNj0FLw0AQhe+C/2EZ&#10;wYu0m0bQNGZTRBCrPVhTQbxts2MSmp2Nu5u2/ntHPOhx3nu8+V6xONpe7NGHzpGC2TQBgVQ701Gj&#10;4HVzP8lAhKjJ6N4RKvjCAIvy9KTQuXEHesF9FRvBJRRyraCNccilDHWLVoepG5DY+3De6sinb6Tx&#10;+sDltpdpklxJqzviD60e8K7FeleNVoF9trfyffUwVn79+PT2uVqudxdLpc7PZskNiIjH+BeGH3xG&#10;h5KZtm4kE0SvYJJec1JBOk9BsJ9llzxl+yvIspD/B5TfUEsDBBQAAAAIAIdO4kDAAJBV+AEAAOUD&#10;AAAOAAAAZHJzL2Uyb0RvYy54bWytU82O0zAQviPxDpbvNGnRLkvUdA9bygVBJeABpo6TWPKfPG7T&#10;vgQvgMQNThy58za7PAZjp9uF5dIDOThjz/ib+b4Zz6/3RrOdDKicrfl0UnImrXCNsl3NP35YPbvi&#10;DCPYBrSzsuYHifx68fTJfPCVnLne6UYGRiAWq8HXvI/RV0WBopcGcOK8tORsXTAQaRu6ogkwELrR&#10;xawsL4vBhcYHJyQinS5HJz8ihnMAXdsqIZdObI20cUQNUkMkStgrj3yRq21bKeK7tkUZma45MY15&#10;pSRkb9JaLOZQdQF8r8SxBDinhEecDChLSU9QS4jAtkH9A2WUCA5dGyfCmWIkkhUhFtPykTbve/Ay&#10;cyGp0Z9Ex/8HK97u1oGphiaBMwuGGn73+cftp6+/fn6h9e77NzZNIg0eK4q9setw3KFfh8R43waT&#10;/sSF7bOwh5Owch+ZoMOLy9nL2YsLzsS9r3i46APG19IZloyaa2UTZ6hg9wYjJaPQ+5B0rC0bav78&#10;alpSDwXQBLbUeTKNJxZou3wZnVbNSmmdrmDoNjc6sB3QFKxWJX2JEwH/FZayLAH7MS67xvnoJTSv&#10;bMPiwZM+lp4FTzUY2XCmJb2iZBEgVBGUPieSUmtLFSRZRyGTtXHNgbqx9UF1PUmRlc8x1P1c73FS&#10;03j9uc9ID69z8R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WAAAAZHJzL1BLAQIUABQAAAAIAIdO4kBd07Fa2QAAAAgBAAAPAAAAAAAAAAEA&#10;IAAAADgAAABkcnMvZG93bnJldi54bWxQSwECFAAUAAAACACHTuJAwACQVfgBAADlAwAADgAAAAAA&#10;AAABACAAAAA+AQAAZHJzL2Uyb0RvYy54bWxQSwUGAAAAAAYABgBZAQAAqAUAAAAA&#10;">
                <v:fill on="f" focussize="0,0"/>
                <v:stroke weight="3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Hans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Hans"/>
        </w:rPr>
        <w:t>关于公布2022年校级一流本科课程（培育）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Cs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Hans"/>
        </w:rPr>
        <w:t>名单的通知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各学院</w:t>
      </w:r>
      <w:r>
        <w:rPr>
          <w:rFonts w:hint="default" w:ascii="仿宋_GB2312" w:hAnsi="仿宋_GB2312" w:eastAsia="仿宋_GB2312" w:cs="仿宋_GB2312"/>
          <w:sz w:val="32"/>
          <w:szCs w:val="32"/>
          <w:lang w:eastAsia="zh-Hans"/>
        </w:rPr>
        <w:t>：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eastAsia="zh-Hans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经教师申报、学院初审、专家评审</w:t>
      </w:r>
      <w:r>
        <w:rPr>
          <w:rFonts w:hint="default" w:ascii="仿宋_GB2312" w:hAnsi="仿宋_GB2312" w:eastAsia="仿宋_GB2312" w:cs="仿宋_GB2312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现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确定《供应链管理》等93门课程为2022年校级一流本科课程（培育）。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培育课程应根据</w:t>
      </w:r>
      <w:r>
        <w:rPr>
          <w:rFonts w:hint="default" w:ascii="仿宋_GB2312" w:hAnsi="仿宋_GB2312" w:eastAsia="仿宋_GB2312" w:cs="仿宋_GB2312"/>
          <w:sz w:val="32"/>
          <w:szCs w:val="32"/>
          <w:lang w:eastAsia="zh-Hans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关于开展</w:t>
      </w:r>
      <w:r>
        <w:rPr>
          <w:rFonts w:hint="default" w:ascii="仿宋_GB2312" w:hAnsi="仿宋_GB2312" w:eastAsia="仿宋_GB2312" w:cs="仿宋_GB2312"/>
          <w:sz w:val="32"/>
          <w:szCs w:val="32"/>
          <w:lang w:eastAsia="zh-Hans"/>
        </w:rPr>
        <w:t>2022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年校级一流课程申报工作的通知</w:t>
      </w:r>
      <w:r>
        <w:rPr>
          <w:rFonts w:hint="default" w:ascii="仿宋_GB2312" w:hAnsi="仿宋_GB2312" w:eastAsia="仿宋_GB2312" w:cs="仿宋_GB2312"/>
          <w:sz w:val="32"/>
          <w:szCs w:val="32"/>
          <w:lang w:eastAsia="zh-Hans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中的“建设要求及标准”开展建设</w:t>
      </w:r>
      <w:r>
        <w:rPr>
          <w:rFonts w:hint="default" w:ascii="仿宋_GB2312" w:hAnsi="仿宋_GB2312" w:eastAsia="仿宋_GB2312" w:cs="仿宋_GB2312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建设期限为</w:t>
      </w:r>
      <w:r>
        <w:rPr>
          <w:rFonts w:hint="default" w:ascii="仿宋_GB2312" w:hAnsi="仿宋_GB2312" w:eastAsia="仿宋_GB2312" w:cs="仿宋_GB2312"/>
          <w:sz w:val="32"/>
          <w:szCs w:val="32"/>
          <w:lang w:eastAsia="zh-Hans"/>
        </w:rPr>
        <w:t>：2023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年</w:t>
      </w:r>
      <w:r>
        <w:rPr>
          <w:rFonts w:hint="default" w:ascii="仿宋_GB2312" w:hAnsi="仿宋_GB2312" w:eastAsia="仿宋_GB2312" w:cs="仿宋_GB2312"/>
          <w:sz w:val="32"/>
          <w:szCs w:val="32"/>
          <w:lang w:eastAsia="zh-Hans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月至</w:t>
      </w:r>
      <w:r>
        <w:rPr>
          <w:rFonts w:hint="default" w:ascii="仿宋_GB2312" w:hAnsi="仿宋_GB2312" w:eastAsia="仿宋_GB2312" w:cs="仿宋_GB2312"/>
          <w:sz w:val="32"/>
          <w:szCs w:val="32"/>
          <w:lang w:eastAsia="zh-Hans"/>
        </w:rPr>
        <w:t>2023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年</w:t>
      </w:r>
      <w:r>
        <w:rPr>
          <w:rFonts w:hint="default" w:ascii="仿宋_GB2312" w:hAnsi="仿宋_GB2312" w:eastAsia="仿宋_GB2312" w:cs="仿宋_GB2312"/>
          <w:sz w:val="32"/>
          <w:szCs w:val="32"/>
          <w:lang w:eastAsia="zh-Hans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月</w:t>
      </w:r>
      <w:r>
        <w:rPr>
          <w:rFonts w:hint="default" w:ascii="仿宋_GB2312" w:hAnsi="仿宋_GB2312" w:eastAsia="仿宋_GB2312" w:cs="仿宋_GB2312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到期验收合格后给予立项</w:t>
      </w:r>
      <w:r>
        <w:rPr>
          <w:rFonts w:hint="default" w:ascii="仿宋_GB2312" w:hAnsi="仿宋_GB2312" w:eastAsia="仿宋_GB2312" w:cs="仿宋_GB2312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并拨付资助经费</w:t>
      </w:r>
      <w:r>
        <w:rPr>
          <w:rFonts w:hint="default" w:ascii="仿宋_GB2312" w:hAnsi="仿宋_GB2312" w:eastAsia="仿宋_GB2312" w:cs="仿宋_GB2312"/>
          <w:sz w:val="32"/>
          <w:szCs w:val="32"/>
          <w:lang w:eastAsia="zh-Hans"/>
        </w:rPr>
        <w:t>5000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元</w:t>
      </w:r>
      <w:r>
        <w:rPr>
          <w:rFonts w:hint="default" w:ascii="仿宋_GB2312" w:hAnsi="仿宋_GB2312" w:eastAsia="仿宋_GB2312" w:cs="仿宋_GB2312"/>
          <w:sz w:val="32"/>
          <w:szCs w:val="32"/>
          <w:lang w:eastAsia="zh-Hans"/>
        </w:rPr>
        <w:t>/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门</w:t>
      </w:r>
      <w:r>
        <w:rPr>
          <w:rFonts w:hint="default" w:ascii="仿宋_GB2312" w:hAnsi="仿宋_GB2312" w:eastAsia="仿宋_GB2312" w:cs="仿宋_GB2312"/>
          <w:sz w:val="32"/>
          <w:szCs w:val="32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各</w:t>
      </w:r>
      <w:r>
        <w:rPr>
          <w:rFonts w:hint="default" w:ascii="仿宋_GB2312" w:hAnsi="仿宋_GB2312" w:eastAsia="仿宋_GB2312" w:cs="仿宋_GB2312"/>
          <w:sz w:val="32"/>
          <w:szCs w:val="32"/>
          <w:lang w:eastAsia="zh-Hans"/>
        </w:rPr>
        <w:t>课程团队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应注重</w:t>
      </w:r>
      <w:r>
        <w:rPr>
          <w:rFonts w:hint="default" w:ascii="仿宋_GB2312" w:hAnsi="仿宋_GB2312" w:eastAsia="仿宋_GB2312" w:cs="仿宋_GB2312"/>
          <w:sz w:val="32"/>
          <w:szCs w:val="32"/>
          <w:lang w:eastAsia="zh-Hans"/>
        </w:rPr>
        <w:t>优化教学内容，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强化</w:t>
      </w:r>
      <w:r>
        <w:rPr>
          <w:rFonts w:hint="default" w:ascii="仿宋_GB2312" w:hAnsi="仿宋_GB2312" w:eastAsia="仿宋_GB2312" w:cs="仿宋_GB2312"/>
          <w:sz w:val="32"/>
          <w:szCs w:val="32"/>
          <w:lang w:eastAsia="zh-Hans"/>
        </w:rPr>
        <w:t>课程思政，创新教学方法，完善课程评价，注重过程管理，不断推进课程改革创新。各二级学院作为课程建设的主体单位，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要</w:t>
      </w:r>
      <w:r>
        <w:rPr>
          <w:rFonts w:hint="default" w:ascii="仿宋_GB2312" w:hAnsi="仿宋_GB2312" w:eastAsia="仿宋_GB2312" w:cs="仿宋_GB2312"/>
          <w:sz w:val="32"/>
          <w:szCs w:val="32"/>
          <w:lang w:eastAsia="zh-Hans"/>
        </w:rPr>
        <w:t>加强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培育课程建设</w:t>
      </w:r>
      <w:r>
        <w:rPr>
          <w:rFonts w:hint="default" w:ascii="仿宋_GB2312" w:hAnsi="仿宋_GB2312" w:eastAsia="仿宋_GB2312" w:cs="仿宋_GB2312"/>
          <w:sz w:val="32"/>
          <w:szCs w:val="32"/>
          <w:lang w:eastAsia="zh-Hans"/>
        </w:rPr>
        <w:t>过程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的</w:t>
      </w:r>
      <w:r>
        <w:rPr>
          <w:rFonts w:hint="default" w:ascii="仿宋_GB2312" w:hAnsi="仿宋_GB2312" w:eastAsia="仿宋_GB2312" w:cs="仿宋_GB2312"/>
          <w:sz w:val="32"/>
          <w:szCs w:val="32"/>
          <w:lang w:eastAsia="zh-Hans"/>
        </w:rPr>
        <w:t>检查与考核，对课程改革实施情况进行全过程指导与督查。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eastAsia="zh-Han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附件</w:t>
      </w:r>
      <w:r>
        <w:rPr>
          <w:rFonts w:hint="default" w:ascii="仿宋_GB2312" w:hAnsi="仿宋_GB2312" w:eastAsia="仿宋_GB2312" w:cs="仿宋_GB2312"/>
          <w:sz w:val="32"/>
          <w:szCs w:val="32"/>
          <w:lang w:eastAsia="zh-Hans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三明学院</w:t>
      </w:r>
      <w:r>
        <w:rPr>
          <w:rFonts w:hint="default" w:ascii="仿宋_GB2312" w:hAnsi="仿宋_GB2312" w:eastAsia="仿宋_GB2312" w:cs="仿宋_GB2312"/>
          <w:sz w:val="32"/>
          <w:szCs w:val="32"/>
          <w:lang w:eastAsia="zh-Hans"/>
        </w:rPr>
        <w:t>2022年校级一流本科课程（培育）名单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eastAsia="zh-Hans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教务处</w:t>
      </w:r>
      <w:r>
        <w:rPr>
          <w:rFonts w:hint="default" w:ascii="仿宋_GB2312" w:hAnsi="仿宋_GB2312" w:eastAsia="仿宋_GB2312" w:cs="仿宋_GB2312"/>
          <w:sz w:val="32"/>
          <w:szCs w:val="32"/>
          <w:lang w:eastAsia="zh-Hans"/>
        </w:rPr>
        <w:t xml:space="preserve"> 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eastAsia="zh-Hans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425" w:num="1"/>
          <w:docGrid w:type="lines" w:linePitch="312" w:charSpace="0"/>
        </w:sectPr>
      </w:pPr>
      <w:r>
        <w:rPr>
          <w:rFonts w:hint="default" w:ascii="仿宋_GB2312" w:hAnsi="仿宋_GB2312" w:eastAsia="仿宋_GB2312" w:cs="仿宋_GB2312"/>
          <w:sz w:val="32"/>
          <w:szCs w:val="32"/>
          <w:lang w:eastAsia="zh-Hans"/>
        </w:rPr>
        <w:t>2022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年</w:t>
      </w:r>
      <w:r>
        <w:rPr>
          <w:rFonts w:hint="default" w:ascii="仿宋_GB2312" w:hAnsi="仿宋_GB2312" w:eastAsia="仿宋_GB2312" w:cs="仿宋_GB2312"/>
          <w:sz w:val="32"/>
          <w:szCs w:val="32"/>
          <w:lang w:eastAsia="zh-Hans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月</w:t>
      </w:r>
      <w:r>
        <w:rPr>
          <w:rFonts w:hint="default" w:ascii="仿宋_GB2312" w:hAnsi="仿宋_GB2312" w:eastAsia="仿宋_GB2312" w:cs="仿宋_GB2312"/>
          <w:sz w:val="32"/>
          <w:szCs w:val="32"/>
          <w:lang w:eastAsia="zh-Hans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日</w:t>
      </w:r>
      <w:r>
        <w:rPr>
          <w:rFonts w:hint="default" w:ascii="仿宋_GB2312" w:hAnsi="仿宋_GB2312" w:eastAsia="仿宋_GB2312" w:cs="仿宋_GB2312"/>
          <w:sz w:val="32"/>
          <w:szCs w:val="32"/>
          <w:lang w:eastAsia="zh-Hans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bCs/>
          <w:sz w:val="24"/>
          <w:szCs w:val="24"/>
          <w:lang w:val="en-US" w:eastAsia="zh-Hans"/>
        </w:rPr>
      </w:pPr>
      <w:r>
        <w:rPr>
          <w:rFonts w:hint="eastAsia" w:ascii="方正小标宋简体" w:hAnsi="方正小标宋简体" w:eastAsia="方正小标宋简体" w:cs="方正小标宋简体"/>
          <w:bCs/>
          <w:sz w:val="24"/>
          <w:szCs w:val="24"/>
          <w:lang w:val="en-US" w:eastAsia="zh-Hans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Hans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Hans"/>
        </w:rPr>
        <w:t>三明学院</w:t>
      </w:r>
      <w:r>
        <w:rPr>
          <w:rFonts w:hint="default" w:ascii="方正小标宋简体" w:hAnsi="方正小标宋简体" w:eastAsia="方正小标宋简体" w:cs="方正小标宋简体"/>
          <w:bCs/>
          <w:sz w:val="40"/>
          <w:szCs w:val="40"/>
          <w:lang w:val="en-US" w:eastAsia="zh-Hans"/>
        </w:rPr>
        <w:t>2022年校级一流本科课程（培育）名单</w:t>
      </w:r>
    </w:p>
    <w:tbl>
      <w:tblPr>
        <w:tblStyle w:val="4"/>
        <w:tblW w:w="14020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308"/>
        <w:gridCol w:w="3009"/>
        <w:gridCol w:w="1012"/>
        <w:gridCol w:w="5440"/>
        <w:gridCol w:w="2541"/>
      </w:tblGrid>
      <w:tr>
        <w:trPr>
          <w:trHeight w:val="510" w:hRule="atLeast"/>
          <w:tblHeader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Hans" w:bidi="ar"/>
              </w:rPr>
              <w:t>项目编号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课程名称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课程组成员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YLK2201X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供应链管理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肖鸿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熊华林、林宏隆、余高锋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经济与管理学院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YLK2202X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现代物流学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邓蓉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熊华林、林宏隆、刘兰英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经济与管理学院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YLK2203X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管理运筹学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余高锋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王佑恩、张志强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经济与管理学院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YLK2204X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旅游法律法规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陈星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陈圆、张玉嫣、龚琳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经济与管理学院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YLK2205X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生态旅游学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李想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邢伟、刘美娥、朱言坤、罗金华、董晨玲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经济与管理学院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YLK2206X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旅游服务礼仪与训练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陈爱兰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陈圆、龚琳、杨萍芳、罗金华、陈丽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经济与管理学院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YLK2207X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餐饮运行与管理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杨萍芳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陈爱兰、龚琳、陈圆、林红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经济与管理学院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YLK2208X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审计理论与实务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蔡芳娜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李清水、陈红、程婷婷、王祝英、官小军、邱高丰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经济与管理学院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YLK2209X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成本会计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肖圆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王祝英、吴丽娜、莫艳飞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经济与管理学院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YLK2210X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基础会计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程婷婷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蔡芳娜、莫艳飞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经济与管理学院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YLK2211X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商业银行经营管理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林鸿超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王祝英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经济与管理学院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YLK2212X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陈翊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黄海棠、李明骞、郑庆伟、陈佳君、雷艳杰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经济与管理学院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YLK2213X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谈判与推销技巧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陈志斌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金明菊、李明骞、陈佳君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经济与管理学院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YLK2214X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零售管理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陈佳君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黄海棠、黄文义、陈翊、雷艳杰、朱松平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经济与管理学院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YLK2215X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雷艳杰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黄海棠、熊华林、陈佳君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经济与管理学院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YLK2216X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Hans" w:bidi="ar"/>
              </w:rPr>
              <w:t>电子商务概论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郑庆伟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李清水、熊华林、黄文义、龚琳、黄海棠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经济与管理学院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YLK2217X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新媒体营销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白迎春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杨晓燕、张平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艺术与设计学院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YLK2218X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数字媒体概论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杨晓燕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陈立龙、白迎春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艺术与设计学院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YLK2219X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工业设计史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陈静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刘阳、文艳群、信玉峰、李婧娴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艺术与设计学院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YLK2220X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产品包装设计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江平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李婧娴、文艳群、伊林春、郭龙文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艺术与设计学院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YLK2221X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插画创新设计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李晨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李晨、张欣宇、于剑锋、念家雯、张茂华、雷希颖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艺术与设计学院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YLK2222X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二维动画设计基础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张苑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张欣宇、吴晓华、陈蕊蕊、李艺贵、李子君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艺术与设计学院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YLK2223X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首饰设计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李婧娴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邱国鹏、文艳群、孙乙泰、王林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艺术与设计学院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YLK2224X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Web开发技术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陈立龙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曹学海、于敏、郭锐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艺术与设计学院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YLK2225X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案例与专题设计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文艳群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黎焕延、邱国鹏、江平、唐艺秦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艺术与设计学院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YLK2226X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色彩构成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张龙翔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黄道兵、郑荣儒、陈文彬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艺术与设计学院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YLK2227X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造型基础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王苗苗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王苗苗、郭婷、刘小梅、信玉峰、游耿林、吴景云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艺术与设计学院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YLK2228X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物联网网关设计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刘持标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周建萍、何力鸿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YLK2229X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数学建模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管强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邱锦明、张山清、祁辉、梁明杰、赵绍玉、陈孝国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YLK2230X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面向对象程序设计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惠苗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刘莉、孙丽丽、张鸣华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eastAsia="zh-CN" w:bidi="ar-SA"/>
              </w:rPr>
              <w:t>31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YLK2231X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Web应用系统开发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孙丽丽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尤垂桔、刘莉、惠苗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YLK2232X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概率论与数理统计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梁明杰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陈孝国、祁辉、张启贤、郑书富、赵治汉、王佑恩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YLK2233X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计算机组成原理与汇编语言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田民格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秦彩杰、林观俊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YLK2234X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数据通信与网络技术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吴美瑜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余文琼、王红雨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YLK2235X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现代教育技术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胡景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李增禄、刘孙发、张武威、张茂华、罗淑媛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YLK2236X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光学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魏茂金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魏茂金、许晓赋、郑联慧、曾振武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机电工程学院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YLK2237X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理论力学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肖荣辉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杨秀珍、郑冬梅、颜慧贤、林映燕、魏炽旭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机电工程学院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YLK2238X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电路分析基础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伍坪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方桂娟、许国忠、谢华、陈金兰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机电工程学院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YLK2239X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汽车检测与诊断技术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陈刚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洪昊、邓志勇、王孝鹏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机电工程学院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YLK2240X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数字信号处理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陈金兰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陈金兰、张锐戈、方桂娟、罗文彬、邱思杰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机电工程学院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YLK2241X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互换性与技术测量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魏剑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高浩、张雯娟、纪联南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机电工程学院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YLK2242X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数学物理方法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洪海莲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颜慧贤、郑玮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机电工程学院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YLK2243X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原子物理学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郑冬梅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曾振武、肖荣辉、魏炽旭、林映燕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机电工程学院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YLK2244X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EDA技术与现代数字系统设计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高忠坚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张锐戈、林春日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机电工程学院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YLK2245X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汽车CAD/CAM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武蕾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王孝鹏、邓志勇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机电工程学院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YLK2246X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数字电子技术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谢华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陈金兰、方桂娟、伍坪、高忠坚、魏茂金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机电工程学院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YLK2247X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艾子健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熊昌炯、谢培庆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机电工程学院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YLK2248X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汽车理论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王孝鹏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陈刚、夏泽彬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机电工程学院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YLK2249X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物理化学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兰永强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苏志忠、赵炎、李福颖、黄世俊、彭茂峰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资源与化工学院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YLK2250X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仪器分析及实验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彭平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汤晓斌、任士钊、吴志宏、赵燕娜、吴红燕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资源与化工学院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YLK2251X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分子生物学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刘希华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刘希华、张君诚、邢建宏、鄢树枫、刘春明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资源与化工学院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YLK2252X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环境生态学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李银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李奇勇、赵燕娜、陈春乐、郑文辉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资源与化工学院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YLK2253X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细胞生物学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石庆会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邢建宏、鄢树枫、房岩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资源与化工学院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YLK2254X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蛋白质工程与应用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邢建宏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鄢树枫、刘希华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资源与化工学院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YLK2255X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化工工艺学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李鲁闽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李鲁闽、陈凯、张建汉、林明穗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资源与化工学院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YLK2256X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有机化学实验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林福星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张建汉、王建华、赵炎、林明穗、罗菊香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资源与化工学院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YLK2257X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无机及分析化学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刘冬玲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赖文忠、李增富、张建汉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资源与化工学院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YLK2258X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高分子化学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王建华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兰永强、林福星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资源与化工学院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YLK2259X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城市规划原理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李学东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张容、林银大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YLK2260X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设计表现技法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林银大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王清华、张鹭静、刘新炜、张容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YLK2261X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园林色彩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张鹭静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林银大、王清华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YLK2262X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土木工程施工技术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苏万鑫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郑仁亮、黄晶晶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YLK2263X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市政工程计量与计价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张孟阳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张孟阳、崔秀琴、黄晶晶、徐欣、王肖颖、黄明君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YLK2264X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建设项目评估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徐欣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徐欣、陈孝国、黄晶晶、张孟阳、张云海、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YLK2265X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高层建筑结构设计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何莲桂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蔡雪霁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YLK2266X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结构力学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李阳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刘静、张仁巍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YLK2267X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材料力学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刘静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郑仁亮、李阳、连跃宗、张仁巍、颜玲月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YLK2268X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钢结构原理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王军芳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钟海、付晓强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YLK2269X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混凝土结构原理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张会芝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何莲桂、杨悦、蔡雪霁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YLK2270X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基础写作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刘云祯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赵平喜、叶松青、蒋昌磊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文化传播学院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YLK2271X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数字多媒体作品创作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朱铭亮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林阳华、李琦、吴颖莹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文化传播学院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YLK2272X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美学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林建平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林阳华、邱光华、叶松青、陈桐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文化传播学院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YLK2273X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受众与视听率分析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李琦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赵平喜、吴孟轩、金雷磊、蒋昌磊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文化传播学院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YLK2274X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国际贸易理论与实务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邓颖冰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吴音、黄菊芬、阴翠梅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海外学院（外国语学院）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YLK2275X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英语阅读-2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雷聪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张伟、李梅兰、吴小莉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海外学院（外国语学院）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YLK2276X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跨文化商务沟通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阴翠梅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海外学院（外国语学院）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YLK2277X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英语阅读-4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张伟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雷聪、常鸣、李梅兰、黄菊芬、蒋永远、陈晓梅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海外学院（外国语学院）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YLK2278X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商务英语写作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易蔚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吴定昆、吕翠娟、廖文倩、黄菊芬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海外学院（外国语学院）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YLK2279X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健美操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吴莲花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陈金、郑伟、范晓军、高保华、罗剑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体育与康养学院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YLK2280X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武术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宋梁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姚敏、林峻峰、高保华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体育与康养学院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YLK2281X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排球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刘一兵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秦德平、徐新建、林少峰、胡映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体育与康养学院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YLK2282X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运动处方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郑伟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王勇、廖俊辉、王峰、陈彦彰、刘建彬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体育与康养学院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YLK2283X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课程与教学论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艾述华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吴旭平、吴迪、陈甘霖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教育与音乐学院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YLK2284X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汉语基础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陈登平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林大庆、邱良云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教育与音乐学院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YLK2285X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心理学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黄晏清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莫传玉、叶晓红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教育与音乐学院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YLK2286X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视唱练耳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李晓红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江水莲、朱婕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教育与音乐学院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YLK2287X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幼儿教师礼仪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邓捷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郭晓琳、许舒敏、谢金涛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教育与音乐学院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YLK2288X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声乐基础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邓滨涛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江水莲、叶佳慧、范奇玉、吴碧玲、王宏、刘玲美、</w:t>
            </w:r>
            <w:r>
              <w:rPr>
                <w:rFonts w:hint="default" w:ascii="Baskerville Regular" w:hAnsi="Baskerville Regular" w:eastAsia="宋体" w:cs="Baskerville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Хрулева、Анастасия、Михайловна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教育与音乐学院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YLK2289X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思想道德与法治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徐桂兰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刘春明、罗斯怡、苗圃、李雅琪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马克思主义学院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YLK2290X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中国共产党简史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胡凌鑫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范连生、欧阳秀敏、杜香芹、曾祥明、邓然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马克思主义学院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YLK2291X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军事理论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游丽艳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陈丽斌、卢佩玉、程义红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马克思主义学院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YLK2292X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形势与政策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陈丽斌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游丽艳、许勋恩、卢佩玉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马克思主义学院</w:t>
            </w:r>
          </w:p>
        </w:tc>
      </w:tr>
      <w:tr>
        <w:trPr>
          <w:trHeight w:val="510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eastAsia="zh-CN" w:bidi="ar-SA"/>
              </w:rPr>
              <w:t>93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YLK2293X</w:t>
            </w:r>
          </w:p>
        </w:tc>
        <w:tc>
          <w:tcPr>
            <w:tcW w:w="3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半导体芯片驱动创新班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詹启明</w:t>
            </w:r>
          </w:p>
        </w:tc>
        <w:tc>
          <w:tcPr>
            <w:tcW w:w="5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林宜甲、余陈千禧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创业管理学院</w:t>
            </w:r>
          </w:p>
        </w:tc>
      </w:tr>
    </w:tbl>
    <w:p>
      <w:pPr>
        <w:sectPr>
          <w:pgSz w:w="16838" w:h="11906" w:orient="landscape"/>
          <w:pgMar w:top="209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425" w:num="1"/>
          <w:docGrid w:type="lines" w:linePitch="312" w:charSpace="0"/>
        </w:sectPr>
      </w:pPr>
    </w:p>
    <w:p/>
    <w:p/>
    <w:p/>
    <w:p/>
    <w:p/>
    <w:p/>
    <w:p/>
    <w:p/>
    <w:p/>
    <w:p/>
    <w:p/>
    <w:p/>
    <w:p/>
    <w:p/>
    <w:p/>
    <w:p/>
    <w:p/>
    <w:p/>
    <w:p/>
    <w:p/>
    <w:p/>
    <w:p/>
    <w:tbl>
      <w:tblPr>
        <w:tblStyle w:val="5"/>
        <w:tblpPr w:leftFromText="180" w:rightFromText="180" w:vertAnchor="text" w:horzAnchor="page" w:tblpX="2003" w:tblpY="6091"/>
        <w:tblOverlap w:val="never"/>
        <w:tblW w:w="8060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0"/>
      </w:tblGrid>
      <w:tr>
        <w:trPr>
          <w:trHeight w:val="700" w:hRule="atLeast"/>
        </w:trPr>
        <w:tc>
          <w:tcPr>
            <w:tcW w:w="80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Hans"/>
              </w:rPr>
              <w:t>三明学院教务处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Hans"/>
              </w:rPr>
              <w:t xml:space="preserve">    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eastAsia="zh-Hans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Hans"/>
              </w:rPr>
              <w:t>2022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Hans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Hans"/>
              </w:rPr>
              <w:t>12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Hans"/>
              </w:rPr>
              <w:t>月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eastAsia="zh-Hans"/>
              </w:rPr>
              <w:t>2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Hans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Hans"/>
              </w:rPr>
              <w:t>日印发</w:t>
            </w:r>
          </w:p>
        </w:tc>
      </w:tr>
    </w:tbl>
    <w:p/>
    <w:sectPr>
      <w:pgSz w:w="11906" w:h="16838"/>
      <w:pgMar w:top="1474" w:right="1984" w:bottom="1587" w:left="209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Bookman Old Style">
    <w:altName w:val="苹方-简"/>
    <w:panose1 w:val="02050604050505020204"/>
    <w:charset w:val="00"/>
    <w:family w:val="roman"/>
    <w:pitch w:val="default"/>
    <w:sig w:usb0="00000000" w:usb1="00000000" w:usb2="00000000" w:usb3="00000000" w:csb0="2000009F" w:csb1="DFD7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方正小标宋简体">
    <w:panose1 w:val="02000000000000000000"/>
    <w:charset w:val="86"/>
    <w:family w:val="auto"/>
    <w:pitch w:val="default"/>
    <w:sig w:usb0="00000000" w:usb1="00000000" w:usb2="00000000" w:usb3="00000000" w:csb0="00060000" w:csb1="00000000"/>
  </w:font>
  <w:font w:name="Baskerville Regular">
    <w:panose1 w:val="02020502070401020303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JIJGtD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5FA3C66"/>
    <w:rsid w:val="47FFD6A1"/>
    <w:rsid w:val="4B7E8819"/>
    <w:rsid w:val="7FAAE0EB"/>
    <w:rsid w:val="7FC6DC05"/>
    <w:rsid w:val="E5FA3C66"/>
    <w:rsid w:val="FDB0B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54</TotalTime>
  <ScaleCrop>false</ScaleCrop>
  <LinksUpToDate>false</LinksUpToDate>
  <CharactersWithSpaces>0</CharactersWithSpaces>
  <Application>WPS Office_4.6.1.7467_F1E327BC-269C-435d-A152-05C5408002CA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2023-01-06T05:34:00Z</dcterms:created>
  <dc:creator>hn</dc:creator>
  <cp:lastModifiedBy>hn</cp:lastModifiedBy>
  <dcterms:modified xsi:type="dcterms:W3CDTF">2023-01-09T16:37:06Z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2052-4.6.1.7467</vt:lpwstr>
  </property>
  <property fmtid="{D5CDD505-2E9C-101B-9397-08002B2CF9AE}" pid="3" name="ICV">
    <vt:lpwstr>A0A9BB0ECC2709CF5780B563CB01F1F7</vt:lpwstr>
  </property>
</Properties>
</file>