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附表1：</w:t>
      </w:r>
    </w:p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三明学院202</w:t>
      </w:r>
      <w:r>
        <w:rPr>
          <w:rFonts w:hint="eastAsia"/>
          <w:b/>
          <w:bCs/>
          <w:sz w:val="30"/>
          <w:szCs w:val="30"/>
          <w:lang w:val="en-US" w:eastAsia="zh-CN"/>
        </w:rPr>
        <w:t>2</w:t>
      </w:r>
      <w:r>
        <w:rPr>
          <w:rFonts w:hint="eastAsia"/>
          <w:b/>
          <w:bCs/>
          <w:sz w:val="30"/>
          <w:szCs w:val="30"/>
        </w:rPr>
        <w:t>年第二学士学位招考面试评分表</w:t>
      </w:r>
    </w:p>
    <w:p>
      <w:pPr>
        <w:ind w:firstLine="6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日期：202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07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23</w:t>
      </w:r>
      <w:r>
        <w:rPr>
          <w:rFonts w:hint="eastAsia"/>
          <w:sz w:val="28"/>
          <w:szCs w:val="28"/>
        </w:rPr>
        <w:t>日</w:t>
      </w:r>
    </w:p>
    <w:tbl>
      <w:tblPr>
        <w:tblStyle w:val="3"/>
        <w:tblW w:w="842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"/>
        <w:gridCol w:w="915"/>
        <w:gridCol w:w="1065"/>
        <w:gridCol w:w="780"/>
        <w:gridCol w:w="720"/>
        <w:gridCol w:w="705"/>
        <w:gridCol w:w="690"/>
        <w:gridCol w:w="660"/>
        <w:gridCol w:w="645"/>
        <w:gridCol w:w="615"/>
        <w:gridCol w:w="11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Arial" w:hAnsi="Arial" w:eastAsia="宋体" w:cs="Arial"/>
                <w:b/>
                <w:color w:val="000000"/>
                <w:kern w:val="0"/>
                <w:sz w:val="24"/>
                <w:szCs w:val="24"/>
                <w:lang w:bidi="ar"/>
              </w:rPr>
              <w:t>序</w:t>
            </w:r>
          </w:p>
          <w:p>
            <w:pPr>
              <w:widowControl/>
              <w:jc w:val="center"/>
              <w:textAlignment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eastAsia="宋体" w:cs="Arial"/>
                <w:b/>
                <w:color w:val="000000"/>
                <w:kern w:val="0"/>
                <w:sz w:val="24"/>
                <w:szCs w:val="24"/>
                <w:lang w:bidi="ar"/>
              </w:rPr>
              <w:t>号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专业知识成绩50%</w:t>
            </w:r>
          </w:p>
        </w:tc>
        <w:tc>
          <w:tcPr>
            <w:tcW w:w="35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综合问题成绩50%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总评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成绩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录取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考生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签字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  <w:lang w:bidi="ar"/>
              </w:rPr>
              <w:t>评委1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  <w:lang w:bidi="ar"/>
              </w:rPr>
              <w:t>评委2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  <w:lang w:bidi="ar"/>
              </w:rPr>
              <w:t>评委3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bCs/>
                <w:color w:val="000000"/>
                <w:szCs w:val="21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bCs/>
                <w:color w:val="000000"/>
                <w:szCs w:val="21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24"/>
                <w:szCs w:val="24"/>
              </w:rPr>
              <w:t>张雨莎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24"/>
                <w:szCs w:val="24"/>
              </w:rPr>
              <w:t>颜怡心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207"/>
              </w:tabs>
              <w:jc w:val="left"/>
              <w:textAlignment w:val="center"/>
              <w:rPr>
                <w:rFonts w:hint="eastAsia" w:ascii="Arial" w:hAnsi="Arial" w:eastAsia="宋体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cs="Arial"/>
                <w:color w:val="000000"/>
                <w:sz w:val="24"/>
                <w:szCs w:val="24"/>
                <w:lang w:eastAsia="zh-CN"/>
              </w:rPr>
              <w:t>覃子珂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说明：综合问题成绩去掉一个最高分、一个最低分后求平均，再按专业知识成绩和综合问题成绩各占50%求总评成绩，再按招考方案录取；未参加面试的按弃权处理，不予录取。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评委签字：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工作人员签字：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纪检监督人员签字：</w:t>
      </w:r>
    </w:p>
    <w:p>
      <w:pPr>
        <w:rPr>
          <w:rFonts w:hint="default" w:ascii="宋体" w:hAnsi="宋体"/>
          <w:b/>
          <w:bCs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2M2NlZTMzMGYxMTAyNzFhZmQ3MTZmMzdmODg2OGMifQ=="/>
  </w:docVars>
  <w:rsids>
    <w:rsidRoot w:val="61F66249"/>
    <w:rsid w:val="22715175"/>
    <w:rsid w:val="5EF32E25"/>
    <w:rsid w:val="61F6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ind w:leftChars="100"/>
      <w:jc w:val="left"/>
      <w:outlineLvl w:val="1"/>
    </w:pPr>
    <w:rPr>
      <w:rFonts w:ascii="Arial" w:hAnsi="Arial" w:eastAsia="楷体" w:cs="Times New Roman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2022-07-18T06:22:00Z</dcterms:created>
  <dc:creator>mao</dc:creator>
  <cp:lastModifiedBy>mao</cp:lastModifiedBy>
  <dcterms:modified xsi:type="dcterms:W3CDTF">2022-07-18T06:22:51Z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66005340E8E4475C8CACB6BEAD47B07F</vt:lpwstr>
  </property>
</Properties>
</file>